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8771" w14:textId="7D849E02" w:rsidR="00820E46" w:rsidRDefault="00820E46" w:rsidP="00BB2F60">
      <w:r>
        <w:rPr>
          <w:noProof/>
          <w:lang w:eastAsia="en-GB"/>
        </w:rPr>
        <w:drawing>
          <wp:inline distT="0" distB="0" distL="0" distR="0" wp14:anchorId="1B981CDD" wp14:editId="3598149D">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7"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63AEBE64" w14:textId="77777777" w:rsidR="00BB2F60" w:rsidRDefault="00BB2F60" w:rsidP="00BB2F60">
      <w:pPr>
        <w:spacing w:after="0"/>
      </w:pPr>
    </w:p>
    <w:p w14:paraId="225B1743" w14:textId="6C067375" w:rsidR="00820E46" w:rsidRPr="00BB2F60" w:rsidRDefault="00820E46" w:rsidP="00BB2F60">
      <w:pPr>
        <w:spacing w:after="0"/>
        <w:rPr>
          <w:rFonts w:ascii="Arial" w:hAnsi="Arial" w:cs="Arial"/>
          <w:b/>
          <w:sz w:val="24"/>
          <w:szCs w:val="24"/>
        </w:rPr>
      </w:pPr>
      <w:r w:rsidRPr="00BB2F60">
        <w:rPr>
          <w:rFonts w:ascii="Arial" w:hAnsi="Arial" w:cs="Arial"/>
          <w:b/>
          <w:sz w:val="24"/>
          <w:szCs w:val="24"/>
        </w:rPr>
        <w:t xml:space="preserve">CAP Guidance </w:t>
      </w:r>
      <w:r w:rsidR="00F56B85">
        <w:rPr>
          <w:rFonts w:ascii="Arial" w:hAnsi="Arial" w:cs="Arial"/>
          <w:b/>
          <w:sz w:val="24"/>
          <w:szCs w:val="24"/>
        </w:rPr>
        <w:t>3</w:t>
      </w:r>
      <w:r w:rsidRPr="00BB2F60">
        <w:rPr>
          <w:rFonts w:ascii="Arial" w:hAnsi="Arial" w:cs="Arial"/>
          <w:b/>
          <w:sz w:val="24"/>
          <w:szCs w:val="24"/>
        </w:rPr>
        <w:t xml:space="preserve">: </w:t>
      </w:r>
      <w:r w:rsidRPr="00BB2F60">
        <w:rPr>
          <w:rFonts w:ascii="Arial" w:hAnsi="Arial" w:cs="Arial"/>
          <w:b/>
          <w:sz w:val="24"/>
          <w:szCs w:val="24"/>
        </w:rPr>
        <w:tab/>
        <w:t>Professional Statutory Regulatory Body (PSRB) Processes</w:t>
      </w:r>
    </w:p>
    <w:p w14:paraId="4DC37EDC" w14:textId="0FF128CA" w:rsidR="001F7F6E" w:rsidRPr="002959E4" w:rsidRDefault="001F7F6E" w:rsidP="00A4242E">
      <w:pPr>
        <w:spacing w:after="0" w:line="240" w:lineRule="auto"/>
        <w:rPr>
          <w:rFonts w:ascii="Arial" w:hAnsi="Arial" w:cs="Arial"/>
        </w:rPr>
      </w:pPr>
    </w:p>
    <w:p w14:paraId="5FE69B95" w14:textId="5AAC19AD" w:rsidR="00AF2C0A" w:rsidRPr="002959E4" w:rsidRDefault="00D178F1" w:rsidP="000E1692">
      <w:pPr>
        <w:spacing w:after="0" w:line="240" w:lineRule="auto"/>
        <w:ind w:left="567" w:hanging="567"/>
        <w:rPr>
          <w:rFonts w:ascii="Arial" w:hAnsi="Arial" w:cs="Arial"/>
          <w:b/>
        </w:rPr>
      </w:pPr>
      <w:r w:rsidRPr="002959E4">
        <w:rPr>
          <w:rFonts w:ascii="Arial" w:hAnsi="Arial" w:cs="Arial"/>
          <w:b/>
        </w:rPr>
        <w:t>Overview</w:t>
      </w:r>
    </w:p>
    <w:p w14:paraId="2CEB7EEB" w14:textId="61C3E812" w:rsidR="00474532" w:rsidRPr="00A16F22" w:rsidRDefault="00474532" w:rsidP="000E1692">
      <w:pPr>
        <w:pStyle w:val="ListParagraph"/>
        <w:numPr>
          <w:ilvl w:val="0"/>
          <w:numId w:val="11"/>
        </w:numPr>
        <w:spacing w:after="0" w:line="240" w:lineRule="auto"/>
        <w:ind w:left="567" w:hanging="567"/>
        <w:rPr>
          <w:rFonts w:ascii="Arial" w:hAnsi="Arial" w:cs="Arial"/>
        </w:rPr>
      </w:pPr>
      <w:r w:rsidRPr="00A16F22">
        <w:rPr>
          <w:rFonts w:ascii="Arial" w:hAnsi="Arial" w:cs="Arial"/>
        </w:rPr>
        <w:t>PSRBs are a diverse group of organisations that include professional bodies, regulators and those with statutory authority over a profession or a group of professionals. PSRBs engage with the higher education sector through the approval, recognition and ac</w:t>
      </w:r>
      <w:r w:rsidR="0017498F">
        <w:rPr>
          <w:rFonts w:ascii="Arial" w:hAnsi="Arial" w:cs="Arial"/>
        </w:rPr>
        <w:t xml:space="preserve">creditation of HE programmes </w:t>
      </w:r>
      <w:r w:rsidRPr="00A16F22">
        <w:rPr>
          <w:rFonts w:ascii="Arial" w:hAnsi="Arial" w:cs="Arial"/>
        </w:rPr>
        <w:t>that meet professional standards, provide a route through to the professions, or are recognised by employers.</w:t>
      </w:r>
    </w:p>
    <w:p w14:paraId="6170C467" w14:textId="77777777" w:rsidR="00474532" w:rsidRPr="00A16F22" w:rsidRDefault="00474532" w:rsidP="000E1692">
      <w:pPr>
        <w:pStyle w:val="ListParagraph"/>
        <w:spacing w:after="0" w:line="240" w:lineRule="auto"/>
        <w:ind w:left="567" w:hanging="567"/>
        <w:rPr>
          <w:rFonts w:ascii="Arial" w:hAnsi="Arial" w:cs="Arial"/>
        </w:rPr>
      </w:pPr>
    </w:p>
    <w:p w14:paraId="1332FCC3" w14:textId="6D3E7366" w:rsidR="00AF2C0A" w:rsidRPr="00A16F22" w:rsidRDefault="00AF2C0A" w:rsidP="000E1692">
      <w:pPr>
        <w:pStyle w:val="ListParagraph"/>
        <w:numPr>
          <w:ilvl w:val="0"/>
          <w:numId w:val="11"/>
        </w:numPr>
        <w:spacing w:after="0" w:line="240" w:lineRule="auto"/>
        <w:ind w:left="567" w:hanging="567"/>
        <w:rPr>
          <w:rFonts w:ascii="Arial" w:hAnsi="Arial" w:cs="Arial"/>
        </w:rPr>
      </w:pPr>
      <w:r w:rsidRPr="00A16F22">
        <w:rPr>
          <w:rFonts w:ascii="Arial" w:hAnsi="Arial" w:cs="Arial"/>
        </w:rPr>
        <w:t>Professional, Statutory and Regulatory body accreditati</w:t>
      </w:r>
      <w:r w:rsidR="00474532" w:rsidRPr="00A16F22">
        <w:rPr>
          <w:rFonts w:ascii="Arial" w:hAnsi="Arial" w:cs="Arial"/>
        </w:rPr>
        <w:t>on usually entails</w:t>
      </w:r>
      <w:r w:rsidR="002663D3">
        <w:rPr>
          <w:rFonts w:ascii="Arial" w:hAnsi="Arial" w:cs="Arial"/>
        </w:rPr>
        <w:t xml:space="preserve"> </w:t>
      </w:r>
      <w:r w:rsidR="00474532" w:rsidRPr="00A16F22">
        <w:rPr>
          <w:rFonts w:ascii="Arial" w:hAnsi="Arial" w:cs="Arial"/>
        </w:rPr>
        <w:t>approval</w:t>
      </w:r>
      <w:r w:rsidRPr="00A16F22">
        <w:rPr>
          <w:rFonts w:ascii="Arial" w:hAnsi="Arial" w:cs="Arial"/>
        </w:rPr>
        <w:t xml:space="preserve"> of provision, either through a</w:t>
      </w:r>
      <w:r w:rsidR="002663D3">
        <w:rPr>
          <w:rFonts w:ascii="Arial" w:hAnsi="Arial" w:cs="Arial"/>
        </w:rPr>
        <w:t>n approval</w:t>
      </w:r>
      <w:r w:rsidRPr="00A16F22">
        <w:rPr>
          <w:rFonts w:ascii="Arial" w:hAnsi="Arial" w:cs="Arial"/>
        </w:rPr>
        <w:t xml:space="preserve"> vi</w:t>
      </w:r>
      <w:r w:rsidR="00474532" w:rsidRPr="00A16F22">
        <w:rPr>
          <w:rFonts w:ascii="Arial" w:hAnsi="Arial" w:cs="Arial"/>
        </w:rPr>
        <w:t xml:space="preserve">sit involving relevant </w:t>
      </w:r>
      <w:r w:rsidRPr="00A16F22">
        <w:rPr>
          <w:rFonts w:ascii="Arial" w:hAnsi="Arial" w:cs="Arial"/>
        </w:rPr>
        <w:t xml:space="preserve">staff and PSRB representatives </w:t>
      </w:r>
      <w:r w:rsidR="00474532" w:rsidRPr="00A16F22">
        <w:rPr>
          <w:rFonts w:ascii="Arial" w:hAnsi="Arial" w:cs="Arial"/>
        </w:rPr>
        <w:t>or through scrutiny of course</w:t>
      </w:r>
      <w:r w:rsidRPr="00A16F22">
        <w:rPr>
          <w:rFonts w:ascii="Arial" w:hAnsi="Arial" w:cs="Arial"/>
        </w:rPr>
        <w:t xml:space="preserve"> documentation. It is often given for a specific time period, after which th</w:t>
      </w:r>
      <w:r w:rsidR="00474532" w:rsidRPr="00A16F22">
        <w:rPr>
          <w:rFonts w:ascii="Arial" w:hAnsi="Arial" w:cs="Arial"/>
        </w:rPr>
        <w:t>ere has to be further approval</w:t>
      </w:r>
      <w:r w:rsidRPr="00A16F22">
        <w:rPr>
          <w:rFonts w:ascii="Arial" w:hAnsi="Arial" w:cs="Arial"/>
        </w:rPr>
        <w:t xml:space="preserve"> to retain the accreditation/recognition/approval.</w:t>
      </w:r>
    </w:p>
    <w:p w14:paraId="2617922B" w14:textId="77777777" w:rsidR="00AF2C0A" w:rsidRPr="00A16F22" w:rsidRDefault="00AF2C0A" w:rsidP="000E1692">
      <w:pPr>
        <w:pStyle w:val="ListParagraph"/>
        <w:spacing w:after="0" w:line="240" w:lineRule="auto"/>
        <w:ind w:left="567" w:hanging="567"/>
        <w:rPr>
          <w:rFonts w:ascii="Arial" w:hAnsi="Arial" w:cs="Arial"/>
        </w:rPr>
      </w:pPr>
    </w:p>
    <w:p w14:paraId="714F407A" w14:textId="479858A9" w:rsidR="00EE6852" w:rsidRPr="00A16F22" w:rsidRDefault="00785E05" w:rsidP="000E1692">
      <w:pPr>
        <w:pStyle w:val="ListParagraph"/>
        <w:numPr>
          <w:ilvl w:val="0"/>
          <w:numId w:val="11"/>
        </w:numPr>
        <w:spacing w:after="0" w:line="240" w:lineRule="auto"/>
        <w:ind w:left="567" w:hanging="567"/>
        <w:rPr>
          <w:rFonts w:ascii="Arial" w:hAnsi="Arial" w:cs="Arial"/>
        </w:rPr>
      </w:pPr>
      <w:r w:rsidRPr="00A16F22">
        <w:rPr>
          <w:rFonts w:ascii="Arial" w:hAnsi="Arial" w:cs="Arial"/>
        </w:rPr>
        <w:t>T</w:t>
      </w:r>
      <w:r w:rsidR="00AF2C0A" w:rsidRPr="00A16F22">
        <w:rPr>
          <w:rFonts w:ascii="Arial" w:hAnsi="Arial" w:cs="Arial"/>
        </w:rPr>
        <w:t>he</w:t>
      </w:r>
      <w:r w:rsidR="00474532" w:rsidRPr="00A16F22">
        <w:rPr>
          <w:rFonts w:ascii="Arial" w:hAnsi="Arial" w:cs="Arial"/>
        </w:rPr>
        <w:t xml:space="preserve"> University encourages Schools</w:t>
      </w:r>
      <w:r w:rsidR="00AF2C0A" w:rsidRPr="00A16F22">
        <w:rPr>
          <w:rFonts w:ascii="Arial" w:hAnsi="Arial" w:cs="Arial"/>
        </w:rPr>
        <w:t xml:space="preserve"> to seek and maintain appropriate PSRB accreditation or similar recognition for its </w:t>
      </w:r>
      <w:r w:rsidR="00474532" w:rsidRPr="00A16F22">
        <w:rPr>
          <w:rFonts w:ascii="Arial" w:hAnsi="Arial" w:cs="Arial"/>
        </w:rPr>
        <w:t>courses</w:t>
      </w:r>
      <w:r w:rsidR="00AF2C0A" w:rsidRPr="00A16F22">
        <w:rPr>
          <w:rFonts w:ascii="Arial" w:hAnsi="Arial" w:cs="Arial"/>
        </w:rPr>
        <w:t>.</w:t>
      </w:r>
    </w:p>
    <w:p w14:paraId="533CF349" w14:textId="27828396" w:rsidR="00AA6ACC" w:rsidRPr="002959E4" w:rsidRDefault="00AA6ACC" w:rsidP="000E1692">
      <w:pPr>
        <w:spacing w:after="0" w:line="240" w:lineRule="auto"/>
        <w:ind w:left="567" w:hanging="567"/>
        <w:rPr>
          <w:rFonts w:ascii="Arial" w:hAnsi="Arial" w:cs="Arial"/>
        </w:rPr>
      </w:pPr>
    </w:p>
    <w:p w14:paraId="644E1DDF" w14:textId="0F416013" w:rsidR="00D178F1" w:rsidRPr="002959E4" w:rsidRDefault="00E4789F" w:rsidP="000E1692">
      <w:pPr>
        <w:spacing w:after="0" w:line="240" w:lineRule="auto"/>
        <w:ind w:left="567" w:hanging="567"/>
        <w:rPr>
          <w:rFonts w:ascii="Arial" w:hAnsi="Arial" w:cs="Arial"/>
          <w:b/>
        </w:rPr>
      </w:pPr>
      <w:r w:rsidRPr="002959E4">
        <w:rPr>
          <w:rFonts w:ascii="Arial" w:hAnsi="Arial" w:cs="Arial"/>
          <w:b/>
        </w:rPr>
        <w:t>Initial E</w:t>
      </w:r>
      <w:r w:rsidR="00D178F1" w:rsidRPr="002959E4">
        <w:rPr>
          <w:rFonts w:ascii="Arial" w:hAnsi="Arial" w:cs="Arial"/>
          <w:b/>
        </w:rPr>
        <w:t>ngagement</w:t>
      </w:r>
    </w:p>
    <w:p w14:paraId="23DCD280" w14:textId="6183D3C5" w:rsidR="00472A8C" w:rsidRPr="00016041" w:rsidRDefault="00472A8C" w:rsidP="000E1692">
      <w:pPr>
        <w:pStyle w:val="ListParagraph"/>
        <w:numPr>
          <w:ilvl w:val="0"/>
          <w:numId w:val="11"/>
        </w:numPr>
        <w:spacing w:after="0" w:line="240" w:lineRule="auto"/>
        <w:ind w:left="567" w:hanging="567"/>
        <w:rPr>
          <w:rFonts w:ascii="Arial" w:hAnsi="Arial" w:cs="Arial"/>
        </w:rPr>
      </w:pPr>
      <w:r w:rsidRPr="00016041">
        <w:rPr>
          <w:rFonts w:ascii="Arial" w:hAnsi="Arial" w:cs="Arial"/>
        </w:rPr>
        <w:t xml:space="preserve">Processes for engaging with PSRBs are formalised in order for the University to continue to be assured that requirements are being met across UW and in partner institutions.  </w:t>
      </w:r>
    </w:p>
    <w:p w14:paraId="69842DD9" w14:textId="77777777" w:rsidR="00472A8C" w:rsidRPr="00016041" w:rsidRDefault="00472A8C" w:rsidP="000E1692">
      <w:pPr>
        <w:pStyle w:val="ListParagraph"/>
        <w:spacing w:after="0" w:line="240" w:lineRule="auto"/>
        <w:ind w:left="567" w:hanging="567"/>
        <w:rPr>
          <w:rFonts w:ascii="Arial" w:hAnsi="Arial" w:cs="Arial"/>
        </w:rPr>
      </w:pPr>
    </w:p>
    <w:p w14:paraId="7252BC7A" w14:textId="54CBFD9B" w:rsidR="00977871" w:rsidRDefault="002663D3" w:rsidP="000E1692">
      <w:pPr>
        <w:pStyle w:val="ListParagraph"/>
        <w:numPr>
          <w:ilvl w:val="0"/>
          <w:numId w:val="11"/>
        </w:numPr>
        <w:spacing w:after="0" w:line="240" w:lineRule="auto"/>
        <w:ind w:left="567" w:hanging="567"/>
        <w:rPr>
          <w:rFonts w:ascii="Arial" w:hAnsi="Arial" w:cs="Arial"/>
        </w:rPr>
      </w:pPr>
      <w:r>
        <w:rPr>
          <w:rFonts w:ascii="Arial" w:hAnsi="Arial" w:cs="Arial"/>
        </w:rPr>
        <w:t>Engagement</w:t>
      </w:r>
      <w:r w:rsidR="00E4789F" w:rsidRPr="00016041">
        <w:rPr>
          <w:rFonts w:ascii="Arial" w:hAnsi="Arial" w:cs="Arial"/>
        </w:rPr>
        <w:t xml:space="preserve"> with PSRBs for initial accreditation, recognition or approval remains primarily the responsibility of each School in accordance with the processes of the relevant PSRB.  This should normally take place at the time of course approval.  AQU should be informed at an early stage through </w:t>
      </w:r>
      <w:hyperlink r:id="rId8" w:history="1">
        <w:r w:rsidR="00E4789F" w:rsidRPr="00DC6E55">
          <w:rPr>
            <w:rStyle w:val="Hyperlink"/>
            <w:rFonts w:ascii="Arial" w:hAnsi="Arial" w:cs="Arial"/>
            <w:color w:val="auto"/>
            <w:u w:val="none"/>
          </w:rPr>
          <w:t>completion of the</w:t>
        </w:r>
        <w:r w:rsidR="00E4789F" w:rsidRPr="00016041">
          <w:rPr>
            <w:rStyle w:val="Hyperlink"/>
            <w:rFonts w:ascii="Arial" w:hAnsi="Arial" w:cs="Arial"/>
          </w:rPr>
          <w:t xml:space="preserve"> PSRB engagement form</w:t>
        </w:r>
      </w:hyperlink>
      <w:r w:rsidR="00E4789F" w:rsidRPr="00016041">
        <w:rPr>
          <w:rFonts w:ascii="Arial" w:hAnsi="Arial" w:cs="Arial"/>
          <w:u w:val="single"/>
        </w:rPr>
        <w:t>,</w:t>
      </w:r>
      <w:r w:rsidR="00E4789F" w:rsidRPr="00016041">
        <w:rPr>
          <w:rFonts w:ascii="Arial" w:hAnsi="Arial" w:cs="Arial"/>
          <w:color w:val="FF0000"/>
        </w:rPr>
        <w:t xml:space="preserve"> </w:t>
      </w:r>
      <w:r w:rsidR="00E4789F" w:rsidRPr="00016041">
        <w:rPr>
          <w:rFonts w:ascii="Arial" w:hAnsi="Arial" w:cs="Arial"/>
        </w:rPr>
        <w:t xml:space="preserve">which for initial accreditation should be submitted with the course proposal Intent to Approve (ITA) form.  </w:t>
      </w:r>
    </w:p>
    <w:p w14:paraId="6B1575E0" w14:textId="77777777" w:rsidR="00977871" w:rsidRPr="00977871" w:rsidRDefault="00977871" w:rsidP="000E1692">
      <w:pPr>
        <w:pStyle w:val="ListParagraph"/>
        <w:ind w:left="567" w:hanging="567"/>
        <w:rPr>
          <w:rFonts w:ascii="Arial" w:hAnsi="Arial" w:cs="Arial"/>
        </w:rPr>
      </w:pPr>
    </w:p>
    <w:p w14:paraId="5C7540F4" w14:textId="038722E7" w:rsidR="002663D3" w:rsidRDefault="002663D3" w:rsidP="000E1692">
      <w:pPr>
        <w:pStyle w:val="ListParagraph"/>
        <w:numPr>
          <w:ilvl w:val="0"/>
          <w:numId w:val="11"/>
        </w:numPr>
        <w:spacing w:after="0" w:line="240" w:lineRule="auto"/>
        <w:ind w:left="567" w:hanging="567"/>
        <w:rPr>
          <w:rFonts w:ascii="Arial" w:hAnsi="Arial" w:cs="Arial"/>
        </w:rPr>
      </w:pPr>
      <w:r>
        <w:rPr>
          <w:rFonts w:ascii="Arial" w:hAnsi="Arial" w:cs="Arial"/>
        </w:rPr>
        <w:t xml:space="preserve">Where appropriate, </w:t>
      </w:r>
      <w:r w:rsidR="000E0110" w:rsidRPr="00016041">
        <w:rPr>
          <w:rFonts w:ascii="Arial" w:hAnsi="Arial" w:cs="Arial"/>
        </w:rPr>
        <w:t xml:space="preserve">updated information for prospective students should be agreed </w:t>
      </w:r>
      <w:r>
        <w:rPr>
          <w:rFonts w:ascii="Arial" w:hAnsi="Arial" w:cs="Arial"/>
        </w:rPr>
        <w:t>with the College Director LTQE</w:t>
      </w:r>
      <w:r w:rsidR="005B7DAE">
        <w:rPr>
          <w:rFonts w:ascii="Arial" w:hAnsi="Arial" w:cs="Arial"/>
        </w:rPr>
        <w:t xml:space="preserve"> </w:t>
      </w:r>
      <w:r>
        <w:rPr>
          <w:rFonts w:ascii="Arial" w:hAnsi="Arial" w:cs="Arial"/>
        </w:rPr>
        <w:t>and published on the webpages.</w:t>
      </w:r>
      <w:r w:rsidR="000E0110" w:rsidRPr="00016041">
        <w:rPr>
          <w:rFonts w:ascii="Arial" w:hAnsi="Arial" w:cs="Arial"/>
        </w:rPr>
        <w:t xml:space="preserve">.  </w:t>
      </w:r>
      <w:r w:rsidR="00E4789F" w:rsidRPr="00016041">
        <w:rPr>
          <w:rFonts w:ascii="Arial" w:hAnsi="Arial" w:cs="Arial"/>
        </w:rPr>
        <w:t xml:space="preserve">Prospective and current students must always be informed of the status of the course with regards to PSRB accreditation. </w:t>
      </w:r>
    </w:p>
    <w:p w14:paraId="6FFA544E" w14:textId="7D13B308" w:rsidR="000E0110" w:rsidRPr="004C15B9" w:rsidRDefault="000E0110" w:rsidP="000E1692">
      <w:pPr>
        <w:spacing w:after="0" w:line="240" w:lineRule="auto"/>
        <w:ind w:left="567" w:hanging="567"/>
        <w:rPr>
          <w:rFonts w:ascii="Arial" w:hAnsi="Arial" w:cs="Arial"/>
          <w:b/>
        </w:rPr>
      </w:pPr>
    </w:p>
    <w:p w14:paraId="3978FD6E" w14:textId="4AC754D2" w:rsidR="00E4789F" w:rsidRPr="002959E4" w:rsidRDefault="005B7DAE" w:rsidP="000E1692">
      <w:pPr>
        <w:spacing w:after="0" w:line="240" w:lineRule="auto"/>
        <w:ind w:left="567" w:hanging="567"/>
        <w:rPr>
          <w:rFonts w:ascii="Arial" w:hAnsi="Arial" w:cs="Arial"/>
          <w:b/>
        </w:rPr>
      </w:pPr>
      <w:r>
        <w:rPr>
          <w:rFonts w:ascii="Arial" w:hAnsi="Arial" w:cs="Arial"/>
          <w:b/>
        </w:rPr>
        <w:t xml:space="preserve">Approval leading to </w:t>
      </w:r>
      <w:r w:rsidR="000E0110" w:rsidRPr="002959E4">
        <w:rPr>
          <w:rFonts w:ascii="Arial" w:hAnsi="Arial" w:cs="Arial"/>
          <w:b/>
        </w:rPr>
        <w:t>Accreditation</w:t>
      </w:r>
    </w:p>
    <w:p w14:paraId="719F3C8D" w14:textId="1EDC1D11" w:rsidR="00E4789F" w:rsidRPr="002F75F2" w:rsidRDefault="005B7DAE" w:rsidP="000E1692">
      <w:pPr>
        <w:pStyle w:val="ListParagraph"/>
        <w:numPr>
          <w:ilvl w:val="0"/>
          <w:numId w:val="11"/>
        </w:numPr>
        <w:spacing w:after="0" w:line="240" w:lineRule="auto"/>
        <w:ind w:left="567" w:hanging="567"/>
        <w:rPr>
          <w:rFonts w:ascii="Arial" w:hAnsi="Arial" w:cs="Arial"/>
        </w:rPr>
      </w:pPr>
      <w:r>
        <w:rPr>
          <w:rFonts w:ascii="Arial" w:hAnsi="Arial" w:cs="Arial"/>
        </w:rPr>
        <w:t xml:space="preserve">PSRBs differ in their processes for </w:t>
      </w:r>
      <w:r w:rsidR="00E4789F" w:rsidRPr="002F75F2">
        <w:rPr>
          <w:rFonts w:ascii="Arial" w:hAnsi="Arial" w:cs="Arial"/>
        </w:rPr>
        <w:t xml:space="preserve">validation/approval, accreditation and monitoring, </w:t>
      </w:r>
      <w:r>
        <w:rPr>
          <w:rFonts w:ascii="Arial" w:hAnsi="Arial" w:cs="Arial"/>
        </w:rPr>
        <w:t xml:space="preserve">and </w:t>
      </w:r>
      <w:r w:rsidR="00E4789F" w:rsidRPr="002F75F2">
        <w:rPr>
          <w:rFonts w:ascii="Arial" w:hAnsi="Arial" w:cs="Arial"/>
        </w:rPr>
        <w:t>it is not appropriate to have a one-size fits all policy with regard to including specific PSRB requirements within the Course Approval process</w:t>
      </w:r>
      <w:r w:rsidR="008540CA" w:rsidRPr="002F75F2">
        <w:rPr>
          <w:rFonts w:ascii="Arial" w:hAnsi="Arial" w:cs="Arial"/>
        </w:rPr>
        <w:t>. Indeed, some PSRBs require that the course runs for a year or completes a cohort before accreditation.  In all cases</w:t>
      </w:r>
      <w:r w:rsidR="00E4789F" w:rsidRPr="002F75F2">
        <w:rPr>
          <w:rFonts w:ascii="Arial" w:hAnsi="Arial" w:cs="Arial"/>
        </w:rPr>
        <w:t>, there will need to be some discussion</w:t>
      </w:r>
      <w:r w:rsidR="008540CA" w:rsidRPr="002F75F2">
        <w:rPr>
          <w:rFonts w:ascii="Arial" w:hAnsi="Arial" w:cs="Arial"/>
        </w:rPr>
        <w:t xml:space="preserve"> </w:t>
      </w:r>
      <w:r>
        <w:rPr>
          <w:rFonts w:ascii="Arial" w:hAnsi="Arial" w:cs="Arial"/>
        </w:rPr>
        <w:t xml:space="preserve">with AQU </w:t>
      </w:r>
      <w:r w:rsidR="00E4789F" w:rsidRPr="002F75F2">
        <w:rPr>
          <w:rFonts w:ascii="Arial" w:hAnsi="Arial" w:cs="Arial"/>
        </w:rPr>
        <w:t>to negotiate</w:t>
      </w:r>
      <w:r>
        <w:rPr>
          <w:rFonts w:ascii="Arial" w:hAnsi="Arial" w:cs="Arial"/>
        </w:rPr>
        <w:t xml:space="preserve"> and agree the approval process. </w:t>
      </w:r>
    </w:p>
    <w:p w14:paraId="04E2D407" w14:textId="77777777" w:rsidR="00AA6ACC" w:rsidRPr="002F75F2" w:rsidRDefault="00AA6ACC" w:rsidP="000E1692">
      <w:pPr>
        <w:pStyle w:val="ListParagraph"/>
        <w:spacing w:after="0" w:line="240" w:lineRule="auto"/>
        <w:ind w:left="567" w:hanging="567"/>
        <w:rPr>
          <w:rFonts w:ascii="Arial" w:hAnsi="Arial" w:cs="Arial"/>
        </w:rPr>
      </w:pPr>
    </w:p>
    <w:p w14:paraId="26E1D1FE" w14:textId="12D391C7" w:rsidR="00E4789F" w:rsidRPr="005B7DAE" w:rsidRDefault="00E4789F" w:rsidP="000E1692">
      <w:pPr>
        <w:pStyle w:val="ListParagraph"/>
        <w:numPr>
          <w:ilvl w:val="0"/>
          <w:numId w:val="11"/>
        </w:numPr>
        <w:spacing w:after="0" w:line="240" w:lineRule="auto"/>
        <w:ind w:left="567" w:hanging="567"/>
        <w:rPr>
          <w:rFonts w:ascii="Arial" w:hAnsi="Arial" w:cs="Arial"/>
          <w:color w:val="1F497D"/>
        </w:rPr>
      </w:pPr>
      <w:r w:rsidRPr="005B7DAE">
        <w:rPr>
          <w:rFonts w:ascii="Arial" w:hAnsi="Arial" w:cs="Arial"/>
        </w:rPr>
        <w:t xml:space="preserve">Primarily, the ITA form alerts AQU as to PSRB involvement. When this is confirmed, AQU will discuss with course leaders and ascertain whether the relevant body wishes to hold a standalone event or whether they might be included in the </w:t>
      </w:r>
      <w:r w:rsidR="005B7DAE" w:rsidRPr="005B7DAE">
        <w:rPr>
          <w:rFonts w:ascii="Arial" w:hAnsi="Arial" w:cs="Arial"/>
        </w:rPr>
        <w:t xml:space="preserve">University course approval process.  </w:t>
      </w:r>
      <w:r w:rsidR="005B7DAE">
        <w:rPr>
          <w:rFonts w:ascii="Arial" w:hAnsi="Arial" w:cs="Arial"/>
        </w:rPr>
        <w:t>T</w:t>
      </w:r>
      <w:r w:rsidRPr="005B7DAE">
        <w:rPr>
          <w:rFonts w:ascii="Arial" w:hAnsi="Arial" w:cs="Arial"/>
        </w:rPr>
        <w:t>he key aim is to synchronise the process with the PSRB concerned, and wherever possible to arrange conjoint approval meetings</w:t>
      </w:r>
      <w:r w:rsidR="0006187A">
        <w:rPr>
          <w:rFonts w:ascii="Arial" w:hAnsi="Arial" w:cs="Arial"/>
        </w:rPr>
        <w:t xml:space="preserve"> in which </w:t>
      </w:r>
      <w:r w:rsidR="0006187A">
        <w:rPr>
          <w:rFonts w:ascii="Arial" w:hAnsi="Arial" w:cs="Arial"/>
        </w:rPr>
        <w:lastRenderedPageBreak/>
        <w:t>case there will be close liaison between AQU and the School for making arrangements.</w:t>
      </w:r>
    </w:p>
    <w:p w14:paraId="4041CDAC" w14:textId="77777777" w:rsidR="00E4789F" w:rsidRPr="002F75F2" w:rsidRDefault="00E4789F" w:rsidP="000E1692">
      <w:pPr>
        <w:pStyle w:val="ListParagraph"/>
        <w:spacing w:after="0" w:line="240" w:lineRule="auto"/>
        <w:ind w:left="567" w:hanging="567"/>
        <w:rPr>
          <w:rFonts w:ascii="Arial" w:hAnsi="Arial" w:cs="Arial"/>
          <w:b/>
        </w:rPr>
      </w:pPr>
    </w:p>
    <w:p w14:paraId="0775B4A5" w14:textId="77777777" w:rsidR="0006187A" w:rsidRPr="00F20486" w:rsidRDefault="00E4789F" w:rsidP="000E1692">
      <w:pPr>
        <w:pStyle w:val="ListParagraph"/>
        <w:numPr>
          <w:ilvl w:val="0"/>
          <w:numId w:val="11"/>
        </w:numPr>
        <w:spacing w:after="0" w:line="240" w:lineRule="auto"/>
        <w:ind w:left="567" w:hanging="567"/>
        <w:rPr>
          <w:rFonts w:ascii="Arial" w:hAnsi="Arial" w:cs="Arial"/>
        </w:rPr>
      </w:pPr>
      <w:r w:rsidRPr="00F20486">
        <w:rPr>
          <w:rFonts w:ascii="Arial" w:hAnsi="Arial" w:cs="Arial"/>
        </w:rPr>
        <w:t>Responsibility for the preparation of documentation required for course accreditation/recognition/approval by PSRBs rests with the relevant course team within Schools. Advice and information should be sought from the College Director and AQU, as appropriate.</w:t>
      </w:r>
      <w:r w:rsidR="0006187A" w:rsidRPr="00F20486">
        <w:rPr>
          <w:rFonts w:ascii="Arial" w:hAnsi="Arial" w:cs="Arial"/>
        </w:rPr>
        <w:t xml:space="preserve">   All applications for new PSRB accreditations must be formally signed off by the relevant Head of School and the College Director LTQE before being forwarded to the PSRB.</w:t>
      </w:r>
    </w:p>
    <w:p w14:paraId="377C1581" w14:textId="499FD816" w:rsidR="00E4789F" w:rsidRPr="002F75F2" w:rsidRDefault="00E4789F" w:rsidP="000E1692">
      <w:pPr>
        <w:pStyle w:val="ListParagraph"/>
        <w:spacing w:after="0" w:line="240" w:lineRule="auto"/>
        <w:ind w:left="567" w:hanging="567"/>
        <w:rPr>
          <w:rFonts w:ascii="Arial" w:hAnsi="Arial" w:cs="Arial"/>
        </w:rPr>
      </w:pPr>
    </w:p>
    <w:p w14:paraId="57B7D4E2" w14:textId="438BA02B" w:rsidR="00041229" w:rsidRDefault="003B622E" w:rsidP="000E1692">
      <w:pPr>
        <w:pStyle w:val="ListParagraph"/>
        <w:numPr>
          <w:ilvl w:val="0"/>
          <w:numId w:val="11"/>
        </w:numPr>
        <w:autoSpaceDE w:val="0"/>
        <w:autoSpaceDN w:val="0"/>
        <w:adjustRightInd w:val="0"/>
        <w:spacing w:after="0" w:line="240" w:lineRule="auto"/>
        <w:ind w:left="567" w:hanging="567"/>
        <w:rPr>
          <w:rFonts w:ascii="Arial" w:hAnsi="Arial" w:cs="Arial"/>
        </w:rPr>
      </w:pPr>
      <w:r w:rsidRPr="0006187A">
        <w:rPr>
          <w:rFonts w:ascii="Arial" w:hAnsi="Arial" w:cs="Arial"/>
        </w:rPr>
        <w:t>If significant</w:t>
      </w:r>
      <w:r w:rsidR="00E4789F" w:rsidRPr="0006187A">
        <w:rPr>
          <w:rFonts w:ascii="Arial" w:hAnsi="Arial" w:cs="Arial"/>
        </w:rPr>
        <w:t xml:space="preserve"> changes </w:t>
      </w:r>
      <w:r w:rsidR="0006187A" w:rsidRPr="0006187A">
        <w:rPr>
          <w:rFonts w:ascii="Arial" w:hAnsi="Arial" w:cs="Arial"/>
        </w:rPr>
        <w:t>or amendments are made</w:t>
      </w:r>
      <w:r w:rsidRPr="0006187A">
        <w:rPr>
          <w:rFonts w:ascii="Arial" w:hAnsi="Arial" w:cs="Arial"/>
        </w:rPr>
        <w:t xml:space="preserve"> to the course</w:t>
      </w:r>
      <w:r w:rsidR="00E4789F" w:rsidRPr="0006187A">
        <w:rPr>
          <w:rFonts w:ascii="Arial" w:hAnsi="Arial" w:cs="Arial"/>
        </w:rPr>
        <w:t xml:space="preserve">, </w:t>
      </w:r>
      <w:r w:rsidR="0006187A" w:rsidRPr="0006187A">
        <w:rPr>
          <w:rFonts w:ascii="Arial" w:hAnsi="Arial" w:cs="Arial"/>
        </w:rPr>
        <w:t xml:space="preserve">the </w:t>
      </w:r>
      <w:r w:rsidR="00E4789F" w:rsidRPr="0006187A">
        <w:rPr>
          <w:rFonts w:ascii="Arial" w:hAnsi="Arial" w:cs="Arial"/>
        </w:rPr>
        <w:t>School should liaise with the PSRB regarding whether the new or amended provision falls under the current accreditation/reco</w:t>
      </w:r>
      <w:r w:rsidRPr="0006187A">
        <w:rPr>
          <w:rFonts w:ascii="Arial" w:hAnsi="Arial" w:cs="Arial"/>
        </w:rPr>
        <w:t>gnition/approval arrangements</w:t>
      </w:r>
      <w:r w:rsidR="00A35677">
        <w:rPr>
          <w:rFonts w:ascii="Arial" w:hAnsi="Arial" w:cs="Arial"/>
        </w:rPr>
        <w:t>, or requires more formal process</w:t>
      </w:r>
      <w:r w:rsidRPr="0006187A">
        <w:rPr>
          <w:rFonts w:ascii="Arial" w:hAnsi="Arial" w:cs="Arial"/>
        </w:rPr>
        <w:t xml:space="preserve">.  </w:t>
      </w:r>
      <w:r w:rsidR="00FF0E7B">
        <w:rPr>
          <w:rFonts w:ascii="Arial" w:hAnsi="Arial" w:cs="Arial"/>
        </w:rPr>
        <w:t xml:space="preserve">It is the responsibility of the School to ensure </w:t>
      </w:r>
      <w:r w:rsidR="00DC6E55">
        <w:rPr>
          <w:rFonts w:ascii="Arial" w:hAnsi="Arial" w:cs="Arial"/>
        </w:rPr>
        <w:t xml:space="preserve">both internal processes and any PSRB processes are co-ordinated and communicated.   This includes completion of the PSRB engagement form. </w:t>
      </w:r>
    </w:p>
    <w:p w14:paraId="4B87C51A" w14:textId="77777777" w:rsidR="007D4F2D" w:rsidRPr="007D4F2D" w:rsidRDefault="007D4F2D" w:rsidP="000E1692">
      <w:pPr>
        <w:pStyle w:val="ListParagraph"/>
        <w:ind w:left="567" w:hanging="567"/>
        <w:rPr>
          <w:rFonts w:ascii="Arial" w:hAnsi="Arial" w:cs="Arial"/>
        </w:rPr>
      </w:pPr>
    </w:p>
    <w:p w14:paraId="5E8C683D" w14:textId="3260A621" w:rsidR="007D4F2D" w:rsidRDefault="007D4F2D" w:rsidP="000E1692">
      <w:pPr>
        <w:pStyle w:val="ListParagraph"/>
        <w:numPr>
          <w:ilvl w:val="0"/>
          <w:numId w:val="11"/>
        </w:numPr>
        <w:autoSpaceDE w:val="0"/>
        <w:autoSpaceDN w:val="0"/>
        <w:adjustRightInd w:val="0"/>
        <w:spacing w:after="0" w:line="240" w:lineRule="auto"/>
        <w:ind w:left="567" w:hanging="567"/>
        <w:rPr>
          <w:rFonts w:ascii="Arial" w:hAnsi="Arial" w:cs="Arial"/>
        </w:rPr>
      </w:pPr>
      <w:r>
        <w:rPr>
          <w:rFonts w:ascii="Arial" w:hAnsi="Arial" w:cs="Arial"/>
        </w:rPr>
        <w:t>PSRB accr</w:t>
      </w:r>
      <w:r w:rsidR="00625783">
        <w:rPr>
          <w:rFonts w:ascii="Arial" w:hAnsi="Arial" w:cs="Arial"/>
        </w:rPr>
        <w:t>editation reports should be forwarded to AQU on receipt</w:t>
      </w:r>
      <w:r w:rsidR="006446C9">
        <w:rPr>
          <w:rFonts w:ascii="Arial" w:hAnsi="Arial" w:cs="Arial"/>
        </w:rPr>
        <w:t xml:space="preserve">, and together with a response or action plan </w:t>
      </w:r>
      <w:r w:rsidR="00F42053">
        <w:rPr>
          <w:rFonts w:ascii="Arial" w:hAnsi="Arial" w:cs="Arial"/>
        </w:rPr>
        <w:t xml:space="preserve">where relevant, </w:t>
      </w:r>
      <w:r w:rsidR="006446C9">
        <w:rPr>
          <w:rFonts w:ascii="Arial" w:hAnsi="Arial" w:cs="Arial"/>
        </w:rPr>
        <w:t xml:space="preserve">should be presented to </w:t>
      </w:r>
      <w:r w:rsidR="00C100CD">
        <w:rPr>
          <w:rFonts w:ascii="Arial" w:hAnsi="Arial" w:cs="Arial"/>
        </w:rPr>
        <w:t>ASQEC</w:t>
      </w:r>
      <w:r w:rsidR="006446C9">
        <w:rPr>
          <w:rFonts w:ascii="Arial" w:hAnsi="Arial" w:cs="Arial"/>
        </w:rPr>
        <w:t xml:space="preserve">. </w:t>
      </w:r>
    </w:p>
    <w:p w14:paraId="471A8FF6" w14:textId="77777777" w:rsidR="00EE543C" w:rsidRPr="00EE543C" w:rsidRDefault="00EE543C" w:rsidP="000E1692">
      <w:pPr>
        <w:pStyle w:val="ListParagraph"/>
        <w:ind w:left="567" w:hanging="567"/>
        <w:rPr>
          <w:rFonts w:ascii="Arial" w:hAnsi="Arial" w:cs="Arial"/>
        </w:rPr>
      </w:pPr>
    </w:p>
    <w:p w14:paraId="5E60F11C" w14:textId="15BB2A49" w:rsidR="00F20486" w:rsidRPr="00BB3647" w:rsidRDefault="00BB3647" w:rsidP="000E1692">
      <w:pPr>
        <w:autoSpaceDE w:val="0"/>
        <w:autoSpaceDN w:val="0"/>
        <w:adjustRightInd w:val="0"/>
        <w:spacing w:after="0" w:line="240" w:lineRule="auto"/>
        <w:ind w:left="567" w:hanging="567"/>
        <w:rPr>
          <w:rFonts w:ascii="Arial" w:hAnsi="Arial" w:cs="Arial"/>
          <w:b/>
          <w:bCs/>
        </w:rPr>
      </w:pPr>
      <w:r w:rsidRPr="00BB3647">
        <w:rPr>
          <w:rFonts w:ascii="Arial" w:hAnsi="Arial" w:cs="Arial"/>
          <w:b/>
          <w:bCs/>
        </w:rPr>
        <w:t>Monitoring</w:t>
      </w:r>
      <w:r w:rsidR="000B7B32">
        <w:rPr>
          <w:rFonts w:ascii="Arial" w:hAnsi="Arial" w:cs="Arial"/>
          <w:b/>
          <w:bCs/>
        </w:rPr>
        <w:t xml:space="preserve">, </w:t>
      </w:r>
      <w:r w:rsidRPr="00BB3647">
        <w:rPr>
          <w:rFonts w:ascii="Arial" w:hAnsi="Arial" w:cs="Arial"/>
          <w:b/>
          <w:bCs/>
        </w:rPr>
        <w:t>ongoing communications</w:t>
      </w:r>
      <w:r w:rsidR="000B7B32">
        <w:rPr>
          <w:rFonts w:ascii="Arial" w:hAnsi="Arial" w:cs="Arial"/>
          <w:b/>
          <w:bCs/>
        </w:rPr>
        <w:t xml:space="preserve"> and records</w:t>
      </w:r>
    </w:p>
    <w:p w14:paraId="78B46928" w14:textId="3C3314F9" w:rsidR="00A15C66" w:rsidRDefault="003A03A9" w:rsidP="00A15C66">
      <w:pPr>
        <w:pStyle w:val="ListParagraph"/>
        <w:numPr>
          <w:ilvl w:val="0"/>
          <w:numId w:val="11"/>
        </w:numPr>
        <w:autoSpaceDE w:val="0"/>
        <w:autoSpaceDN w:val="0"/>
        <w:adjustRightInd w:val="0"/>
        <w:spacing w:after="0" w:line="240" w:lineRule="auto"/>
        <w:ind w:left="567" w:hanging="567"/>
        <w:rPr>
          <w:rFonts w:ascii="Arial" w:hAnsi="Arial" w:cs="Arial"/>
        </w:rPr>
      </w:pPr>
      <w:r>
        <w:rPr>
          <w:rFonts w:ascii="Arial" w:hAnsi="Arial" w:cs="Arial"/>
        </w:rPr>
        <w:t xml:space="preserve">Where PSRBs require annual monitoring or review reports, the same principles </w:t>
      </w:r>
      <w:r w:rsidR="008C0088">
        <w:rPr>
          <w:rFonts w:ascii="Arial" w:hAnsi="Arial" w:cs="Arial"/>
        </w:rPr>
        <w:t xml:space="preserve">as for approval </w:t>
      </w:r>
      <w:r>
        <w:rPr>
          <w:rFonts w:ascii="Arial" w:hAnsi="Arial" w:cs="Arial"/>
        </w:rPr>
        <w:t xml:space="preserve">apply in that the School is responsible </w:t>
      </w:r>
      <w:r w:rsidR="00D174D8">
        <w:rPr>
          <w:rFonts w:ascii="Arial" w:hAnsi="Arial" w:cs="Arial"/>
        </w:rPr>
        <w:t xml:space="preserve">for producing documentation </w:t>
      </w:r>
      <w:r w:rsidR="008046DC">
        <w:rPr>
          <w:rFonts w:ascii="Arial" w:hAnsi="Arial" w:cs="Arial"/>
        </w:rPr>
        <w:t>with formal sign off by the Head of School and College Director LTQE</w:t>
      </w:r>
      <w:r w:rsidR="00CA39A0">
        <w:rPr>
          <w:rFonts w:ascii="Arial" w:hAnsi="Arial" w:cs="Arial"/>
        </w:rPr>
        <w:t xml:space="preserve">.   </w:t>
      </w:r>
    </w:p>
    <w:p w14:paraId="0EB86E99" w14:textId="77777777" w:rsidR="00A15C66" w:rsidRDefault="00A15C66" w:rsidP="00A15C66">
      <w:pPr>
        <w:pStyle w:val="ListParagraph"/>
        <w:autoSpaceDE w:val="0"/>
        <w:autoSpaceDN w:val="0"/>
        <w:adjustRightInd w:val="0"/>
        <w:spacing w:after="0" w:line="240" w:lineRule="auto"/>
        <w:ind w:left="567"/>
        <w:rPr>
          <w:rFonts w:ascii="Arial" w:hAnsi="Arial" w:cs="Arial"/>
        </w:rPr>
      </w:pPr>
    </w:p>
    <w:p w14:paraId="4E68D95A" w14:textId="3EBD2154" w:rsidR="00B539EC" w:rsidRPr="00A15C66" w:rsidRDefault="00655884" w:rsidP="00A15C66">
      <w:pPr>
        <w:pStyle w:val="ListParagraph"/>
        <w:numPr>
          <w:ilvl w:val="0"/>
          <w:numId w:val="11"/>
        </w:numPr>
        <w:autoSpaceDE w:val="0"/>
        <w:autoSpaceDN w:val="0"/>
        <w:adjustRightInd w:val="0"/>
        <w:spacing w:after="0" w:line="240" w:lineRule="auto"/>
        <w:ind w:left="567" w:hanging="567"/>
        <w:rPr>
          <w:rFonts w:ascii="Arial" w:hAnsi="Arial" w:cs="Arial"/>
        </w:rPr>
      </w:pPr>
      <w:r w:rsidRPr="00A15C66">
        <w:rPr>
          <w:rFonts w:ascii="Arial" w:hAnsi="Arial" w:cs="Arial"/>
        </w:rPr>
        <w:t>Consideration of PSRB reports is an integral part of University quality management processes</w:t>
      </w:r>
      <w:r w:rsidR="00E47A52" w:rsidRPr="00A15C66">
        <w:rPr>
          <w:rFonts w:ascii="Arial" w:hAnsi="Arial" w:cs="Arial"/>
        </w:rPr>
        <w:t xml:space="preserve">: </w:t>
      </w:r>
    </w:p>
    <w:p w14:paraId="3EF4D64D" w14:textId="77777777" w:rsidR="00B539EC" w:rsidRDefault="00B539EC" w:rsidP="000E1692">
      <w:pPr>
        <w:autoSpaceDE w:val="0"/>
        <w:autoSpaceDN w:val="0"/>
        <w:adjustRightInd w:val="0"/>
        <w:spacing w:after="0" w:line="240" w:lineRule="auto"/>
        <w:ind w:left="567" w:hanging="567"/>
        <w:rPr>
          <w:rFonts w:ascii="Arial" w:hAnsi="Arial" w:cs="Arial"/>
        </w:rPr>
      </w:pPr>
    </w:p>
    <w:p w14:paraId="69D1D2CE" w14:textId="3100936E" w:rsidR="00B539EC" w:rsidRPr="00B21A40" w:rsidRDefault="009206A6" w:rsidP="00A15C66">
      <w:pPr>
        <w:pStyle w:val="ListParagraph"/>
        <w:numPr>
          <w:ilvl w:val="0"/>
          <w:numId w:val="19"/>
        </w:numPr>
        <w:autoSpaceDE w:val="0"/>
        <w:autoSpaceDN w:val="0"/>
        <w:adjustRightInd w:val="0"/>
        <w:spacing w:after="0" w:line="240" w:lineRule="auto"/>
        <w:ind w:left="851" w:hanging="284"/>
        <w:rPr>
          <w:rFonts w:ascii="Arial" w:hAnsi="Arial" w:cs="Arial"/>
        </w:rPr>
      </w:pPr>
      <w:r w:rsidRPr="00B21A40">
        <w:rPr>
          <w:rFonts w:ascii="Arial" w:hAnsi="Arial" w:cs="Arial"/>
        </w:rPr>
        <w:t>Reports are considered through annual evaluation and periodic review processes</w:t>
      </w:r>
    </w:p>
    <w:p w14:paraId="780F40D5" w14:textId="631D0FFE" w:rsidR="00881BAF" w:rsidRPr="00B21A40" w:rsidRDefault="00881BAF" w:rsidP="00A15C66">
      <w:pPr>
        <w:pStyle w:val="ListParagraph"/>
        <w:numPr>
          <w:ilvl w:val="0"/>
          <w:numId w:val="19"/>
        </w:numPr>
        <w:autoSpaceDE w:val="0"/>
        <w:autoSpaceDN w:val="0"/>
        <w:adjustRightInd w:val="0"/>
        <w:spacing w:after="0" w:line="240" w:lineRule="auto"/>
        <w:ind w:left="851" w:hanging="284"/>
        <w:rPr>
          <w:rFonts w:ascii="Arial" w:hAnsi="Arial" w:cs="Arial"/>
        </w:rPr>
      </w:pPr>
      <w:r w:rsidRPr="00B21A40">
        <w:rPr>
          <w:rFonts w:ascii="Arial" w:hAnsi="Arial" w:cs="Arial"/>
        </w:rPr>
        <w:t xml:space="preserve">AQU reviews all reports received to identify any potential University issues </w:t>
      </w:r>
    </w:p>
    <w:p w14:paraId="037ED41B" w14:textId="70A93E45" w:rsidR="00881BAF" w:rsidRPr="00B21A40" w:rsidRDefault="00881BAF" w:rsidP="00A15C66">
      <w:pPr>
        <w:pStyle w:val="ListParagraph"/>
        <w:numPr>
          <w:ilvl w:val="0"/>
          <w:numId w:val="19"/>
        </w:numPr>
        <w:autoSpaceDE w:val="0"/>
        <w:autoSpaceDN w:val="0"/>
        <w:adjustRightInd w:val="0"/>
        <w:spacing w:after="0" w:line="240" w:lineRule="auto"/>
        <w:ind w:left="851" w:hanging="284"/>
        <w:rPr>
          <w:rFonts w:ascii="Arial" w:hAnsi="Arial" w:cs="Arial"/>
        </w:rPr>
      </w:pPr>
      <w:r w:rsidRPr="00B21A40">
        <w:rPr>
          <w:rFonts w:ascii="Arial" w:hAnsi="Arial" w:cs="Arial"/>
        </w:rPr>
        <w:t xml:space="preserve">PSRB reports of accreditation, re-accreditation annual  monitoring or review are presented together with relevant responses and action plans to </w:t>
      </w:r>
      <w:r w:rsidR="0017498F">
        <w:rPr>
          <w:rFonts w:ascii="Arial" w:hAnsi="Arial" w:cs="Arial"/>
        </w:rPr>
        <w:t xml:space="preserve">ASQEC </w:t>
      </w:r>
      <w:r w:rsidRPr="00B21A40">
        <w:rPr>
          <w:rFonts w:ascii="Arial" w:hAnsi="Arial" w:cs="Arial"/>
        </w:rPr>
        <w:t>for information and where relevant monitoring purposes</w:t>
      </w:r>
    </w:p>
    <w:p w14:paraId="58595272" w14:textId="544276B3" w:rsidR="00E9344E" w:rsidRPr="00B21A40" w:rsidRDefault="00E9344E" w:rsidP="00A15C66">
      <w:pPr>
        <w:pStyle w:val="ListParagraph"/>
        <w:numPr>
          <w:ilvl w:val="0"/>
          <w:numId w:val="19"/>
        </w:numPr>
        <w:autoSpaceDE w:val="0"/>
        <w:autoSpaceDN w:val="0"/>
        <w:adjustRightInd w:val="0"/>
        <w:spacing w:after="0" w:line="240" w:lineRule="auto"/>
        <w:ind w:left="851" w:hanging="284"/>
        <w:rPr>
          <w:rFonts w:ascii="Arial" w:hAnsi="Arial" w:cs="Arial"/>
        </w:rPr>
      </w:pPr>
      <w:r w:rsidRPr="00B21A40">
        <w:rPr>
          <w:rFonts w:ascii="Arial" w:hAnsi="Arial" w:cs="Arial"/>
        </w:rPr>
        <w:t xml:space="preserve">ASQEC receives regular updates on PSRB </w:t>
      </w:r>
      <w:r w:rsidR="00AB04D1" w:rsidRPr="00B21A40">
        <w:rPr>
          <w:rFonts w:ascii="Arial" w:hAnsi="Arial" w:cs="Arial"/>
        </w:rPr>
        <w:t>engagements and outcomes</w:t>
      </w:r>
    </w:p>
    <w:p w14:paraId="4F1460BA" w14:textId="5BCFA5C5" w:rsidR="009C6673" w:rsidRDefault="009C6673" w:rsidP="000E1692">
      <w:pPr>
        <w:autoSpaceDE w:val="0"/>
        <w:autoSpaceDN w:val="0"/>
        <w:adjustRightInd w:val="0"/>
        <w:spacing w:after="0" w:line="240" w:lineRule="auto"/>
        <w:ind w:left="567" w:hanging="567"/>
        <w:rPr>
          <w:rFonts w:ascii="Arial" w:hAnsi="Arial" w:cs="Arial"/>
        </w:rPr>
      </w:pPr>
    </w:p>
    <w:p w14:paraId="48176D7A" w14:textId="1DC88968" w:rsidR="009C6673" w:rsidRPr="00C15473" w:rsidRDefault="00C15473" w:rsidP="000E1692">
      <w:pPr>
        <w:autoSpaceDE w:val="0"/>
        <w:autoSpaceDN w:val="0"/>
        <w:adjustRightInd w:val="0"/>
        <w:spacing w:after="0" w:line="240" w:lineRule="auto"/>
        <w:ind w:left="567" w:hanging="567"/>
        <w:rPr>
          <w:rFonts w:ascii="Arial" w:hAnsi="Arial" w:cs="Arial"/>
        </w:rPr>
      </w:pPr>
      <w:r>
        <w:rPr>
          <w:rFonts w:ascii="Arial" w:hAnsi="Arial" w:cs="Arial"/>
        </w:rPr>
        <w:t>14.</w:t>
      </w:r>
      <w:r w:rsidR="001A5520">
        <w:rPr>
          <w:rFonts w:ascii="Arial" w:hAnsi="Arial" w:cs="Arial"/>
        </w:rPr>
        <w:t xml:space="preserve"> </w:t>
      </w:r>
      <w:r w:rsidR="00A15C66">
        <w:rPr>
          <w:rFonts w:ascii="Arial" w:hAnsi="Arial" w:cs="Arial"/>
        </w:rPr>
        <w:tab/>
      </w:r>
      <w:r w:rsidR="00725AD7" w:rsidRPr="00C15473">
        <w:rPr>
          <w:rFonts w:ascii="Arial" w:hAnsi="Arial" w:cs="Arial"/>
        </w:rPr>
        <w:t xml:space="preserve">A central  register of </w:t>
      </w:r>
      <w:r w:rsidR="00AF7CAD" w:rsidRPr="00C15473">
        <w:rPr>
          <w:rFonts w:ascii="Arial" w:hAnsi="Arial" w:cs="Arial"/>
        </w:rPr>
        <w:t xml:space="preserve">PSRB related courses </w:t>
      </w:r>
      <w:r w:rsidR="00065944" w:rsidRPr="00C15473">
        <w:rPr>
          <w:rFonts w:ascii="Arial" w:hAnsi="Arial" w:cs="Arial"/>
        </w:rPr>
        <w:t>is maintained by the Academic Quality Unit</w:t>
      </w:r>
      <w:r w:rsidR="001A5520">
        <w:rPr>
          <w:rFonts w:ascii="Arial" w:hAnsi="Arial" w:cs="Arial"/>
        </w:rPr>
        <w:t xml:space="preserve"> </w:t>
      </w:r>
      <w:r w:rsidR="00DB7C4D" w:rsidRPr="00C15473">
        <w:rPr>
          <w:rFonts w:ascii="Arial" w:hAnsi="Arial" w:cs="Arial"/>
        </w:rPr>
        <w:t xml:space="preserve">and </w:t>
      </w:r>
      <w:r w:rsidR="00A7191A" w:rsidRPr="00C15473">
        <w:rPr>
          <w:rFonts w:ascii="Arial" w:hAnsi="Arial" w:cs="Arial"/>
        </w:rPr>
        <w:t>is presented annually to ASQEC for informatio</w:t>
      </w:r>
      <w:r w:rsidR="00D82928" w:rsidRPr="00C15473">
        <w:rPr>
          <w:rFonts w:ascii="Arial" w:hAnsi="Arial" w:cs="Arial"/>
        </w:rPr>
        <w:t>n</w:t>
      </w:r>
      <w:r w:rsidR="00B21A40" w:rsidRPr="00C15473">
        <w:rPr>
          <w:rFonts w:ascii="Arial" w:hAnsi="Arial" w:cs="Arial"/>
        </w:rPr>
        <w:t>.</w:t>
      </w:r>
    </w:p>
    <w:p w14:paraId="60BB2716" w14:textId="06D75FBF" w:rsidR="00671A4E" w:rsidRDefault="00671A4E" w:rsidP="000E1692">
      <w:pPr>
        <w:autoSpaceDE w:val="0"/>
        <w:autoSpaceDN w:val="0"/>
        <w:adjustRightInd w:val="0"/>
        <w:spacing w:after="0" w:line="240" w:lineRule="auto"/>
        <w:ind w:left="567" w:hanging="567"/>
        <w:rPr>
          <w:rFonts w:ascii="Arial" w:hAnsi="Arial" w:cs="Arial"/>
        </w:rPr>
      </w:pPr>
    </w:p>
    <w:p w14:paraId="6EAE90AF" w14:textId="540CE06F" w:rsidR="00E4789F" w:rsidRPr="002959E4" w:rsidRDefault="00DB7C4D" w:rsidP="000E1692">
      <w:pPr>
        <w:spacing w:after="0" w:line="240" w:lineRule="auto"/>
        <w:ind w:left="567" w:hanging="567"/>
        <w:rPr>
          <w:rFonts w:ascii="Arial" w:hAnsi="Arial" w:cs="Arial"/>
          <w:b/>
        </w:rPr>
      </w:pPr>
      <w:r>
        <w:rPr>
          <w:rFonts w:ascii="Arial" w:hAnsi="Arial" w:cs="Arial"/>
          <w:b/>
        </w:rPr>
        <w:t xml:space="preserve">Summary of </w:t>
      </w:r>
      <w:r w:rsidR="005A4B87">
        <w:rPr>
          <w:rFonts w:ascii="Arial" w:hAnsi="Arial" w:cs="Arial"/>
          <w:b/>
        </w:rPr>
        <w:t xml:space="preserve">Key </w:t>
      </w:r>
      <w:r w:rsidR="00E4789F" w:rsidRPr="002959E4">
        <w:rPr>
          <w:rFonts w:ascii="Arial" w:hAnsi="Arial" w:cs="Arial"/>
          <w:b/>
        </w:rPr>
        <w:t>Responsibilities</w:t>
      </w:r>
    </w:p>
    <w:p w14:paraId="39F18881" w14:textId="314C1D8B" w:rsidR="00E4789F" w:rsidRPr="000E1692" w:rsidRDefault="000E1692" w:rsidP="000E1692">
      <w:pPr>
        <w:spacing w:after="0" w:line="240" w:lineRule="auto"/>
        <w:ind w:left="567" w:hanging="567"/>
        <w:rPr>
          <w:rFonts w:ascii="Arial" w:hAnsi="Arial" w:cs="Arial"/>
        </w:rPr>
      </w:pPr>
      <w:r>
        <w:rPr>
          <w:rFonts w:ascii="Arial" w:hAnsi="Arial" w:cs="Arial"/>
        </w:rPr>
        <w:t>15.</w:t>
      </w:r>
      <w:r w:rsidR="00A15C66">
        <w:rPr>
          <w:rFonts w:ascii="Arial" w:hAnsi="Arial" w:cs="Arial"/>
        </w:rPr>
        <w:tab/>
      </w:r>
      <w:r w:rsidR="00E4789F" w:rsidRPr="000E1692">
        <w:rPr>
          <w:rFonts w:ascii="Arial" w:hAnsi="Arial" w:cs="Arial"/>
        </w:rPr>
        <w:t>AQU is responsible for:</w:t>
      </w:r>
    </w:p>
    <w:p w14:paraId="020E8B51" w14:textId="7C76D682" w:rsidR="00E4789F" w:rsidRPr="002959E4" w:rsidRDefault="00E4789F" w:rsidP="00A15C66">
      <w:pPr>
        <w:pStyle w:val="ListParagraph"/>
        <w:numPr>
          <w:ilvl w:val="0"/>
          <w:numId w:val="6"/>
        </w:numPr>
        <w:spacing w:after="0" w:line="240" w:lineRule="auto"/>
        <w:ind w:left="1134" w:hanging="567"/>
        <w:rPr>
          <w:rFonts w:ascii="Arial" w:hAnsi="Arial" w:cs="Arial"/>
        </w:rPr>
      </w:pPr>
      <w:r w:rsidRPr="002959E4">
        <w:rPr>
          <w:rFonts w:ascii="Arial" w:hAnsi="Arial" w:cs="Arial"/>
        </w:rPr>
        <w:t xml:space="preserve">Maintaining a register of all PSRB </w:t>
      </w:r>
      <w:r w:rsidR="00DB414C">
        <w:rPr>
          <w:rFonts w:ascii="Arial" w:hAnsi="Arial" w:cs="Arial"/>
        </w:rPr>
        <w:t>related courses</w:t>
      </w:r>
      <w:r w:rsidR="00026FE5">
        <w:rPr>
          <w:rFonts w:ascii="Arial" w:hAnsi="Arial" w:cs="Arial"/>
        </w:rPr>
        <w:t xml:space="preserve"> inc</w:t>
      </w:r>
      <w:r w:rsidRPr="002959E4">
        <w:rPr>
          <w:rFonts w:ascii="Arial" w:hAnsi="Arial" w:cs="Arial"/>
        </w:rPr>
        <w:t>luding:</w:t>
      </w:r>
    </w:p>
    <w:p w14:paraId="1E0ED126" w14:textId="3D41ED2F" w:rsidR="00026FE5" w:rsidRDefault="00026FE5" w:rsidP="00A15C66">
      <w:pPr>
        <w:numPr>
          <w:ilvl w:val="0"/>
          <w:numId w:val="5"/>
        </w:numPr>
        <w:tabs>
          <w:tab w:val="num" w:pos="567"/>
        </w:tabs>
        <w:spacing w:after="0" w:line="240" w:lineRule="auto"/>
        <w:ind w:left="1701" w:hanging="567"/>
        <w:rPr>
          <w:rFonts w:ascii="Arial" w:hAnsi="Arial" w:cs="Arial"/>
        </w:rPr>
      </w:pPr>
      <w:r>
        <w:rPr>
          <w:rFonts w:ascii="Arial" w:hAnsi="Arial" w:cs="Arial"/>
        </w:rPr>
        <w:t>Dates of PSRB approval</w:t>
      </w:r>
      <w:r w:rsidR="00327CE7">
        <w:rPr>
          <w:rFonts w:ascii="Arial" w:hAnsi="Arial" w:cs="Arial"/>
        </w:rPr>
        <w:t xml:space="preserve"> and dates for review</w:t>
      </w:r>
    </w:p>
    <w:p w14:paraId="25350A6E" w14:textId="1DF8CBC8" w:rsidR="00327CE7" w:rsidRDefault="00327CE7" w:rsidP="00A15C66">
      <w:pPr>
        <w:numPr>
          <w:ilvl w:val="0"/>
          <w:numId w:val="5"/>
        </w:numPr>
        <w:tabs>
          <w:tab w:val="num" w:pos="567"/>
        </w:tabs>
        <w:spacing w:after="0" w:line="240" w:lineRule="auto"/>
        <w:ind w:left="1701" w:hanging="567"/>
        <w:rPr>
          <w:rFonts w:ascii="Arial" w:hAnsi="Arial" w:cs="Arial"/>
        </w:rPr>
      </w:pPr>
      <w:r>
        <w:rPr>
          <w:rFonts w:ascii="Arial" w:hAnsi="Arial" w:cs="Arial"/>
        </w:rPr>
        <w:t>PSRB and School contacts</w:t>
      </w:r>
    </w:p>
    <w:p w14:paraId="773F454A" w14:textId="387A434D" w:rsidR="00E4789F" w:rsidRPr="00EB13C0" w:rsidRDefault="00E4789F" w:rsidP="00A15C66">
      <w:pPr>
        <w:numPr>
          <w:ilvl w:val="0"/>
          <w:numId w:val="5"/>
        </w:numPr>
        <w:tabs>
          <w:tab w:val="num" w:pos="567"/>
        </w:tabs>
        <w:spacing w:after="0" w:line="240" w:lineRule="auto"/>
        <w:ind w:left="1701" w:hanging="567"/>
        <w:rPr>
          <w:rFonts w:ascii="Arial" w:hAnsi="Arial" w:cs="Arial"/>
        </w:rPr>
      </w:pPr>
      <w:r w:rsidRPr="002959E4">
        <w:rPr>
          <w:rFonts w:ascii="Arial" w:hAnsi="Arial" w:cs="Arial"/>
        </w:rPr>
        <w:t xml:space="preserve">PSRB </w:t>
      </w:r>
      <w:r w:rsidR="00327CE7">
        <w:rPr>
          <w:rFonts w:ascii="Arial" w:hAnsi="Arial" w:cs="Arial"/>
        </w:rPr>
        <w:t>requirements (</w:t>
      </w:r>
      <w:proofErr w:type="spellStart"/>
      <w:r w:rsidR="00327CE7">
        <w:rPr>
          <w:rFonts w:ascii="Arial" w:hAnsi="Arial" w:cs="Arial"/>
        </w:rPr>
        <w:t>eg</w:t>
      </w:r>
      <w:proofErr w:type="spellEnd"/>
      <w:r w:rsidR="00327CE7">
        <w:rPr>
          <w:rFonts w:ascii="Arial" w:hAnsi="Arial" w:cs="Arial"/>
        </w:rPr>
        <w:t xml:space="preserve"> for annual report</w:t>
      </w:r>
      <w:r w:rsidR="00EB13C0">
        <w:rPr>
          <w:rFonts w:ascii="Arial" w:hAnsi="Arial" w:cs="Arial"/>
        </w:rPr>
        <w:t xml:space="preserve"> etc)</w:t>
      </w:r>
    </w:p>
    <w:p w14:paraId="6D2912FE" w14:textId="77777777" w:rsidR="00B65B2F" w:rsidRDefault="002013BD" w:rsidP="00A15C66">
      <w:pPr>
        <w:pStyle w:val="ListParagraph"/>
        <w:numPr>
          <w:ilvl w:val="0"/>
          <w:numId w:val="7"/>
        </w:numPr>
        <w:spacing w:after="0" w:line="240" w:lineRule="auto"/>
        <w:ind w:left="1134" w:hanging="567"/>
        <w:rPr>
          <w:rFonts w:ascii="Arial" w:hAnsi="Arial" w:cs="Arial"/>
        </w:rPr>
      </w:pPr>
      <w:r>
        <w:rPr>
          <w:rFonts w:ascii="Arial" w:hAnsi="Arial" w:cs="Arial"/>
        </w:rPr>
        <w:t xml:space="preserve">Retaining copies of </w:t>
      </w:r>
      <w:r w:rsidR="00695EEF">
        <w:rPr>
          <w:rFonts w:ascii="Arial" w:hAnsi="Arial" w:cs="Arial"/>
        </w:rPr>
        <w:t xml:space="preserve">PSRB Reports and key communications </w:t>
      </w:r>
    </w:p>
    <w:p w14:paraId="56217D78" w14:textId="77777777" w:rsidR="00B65B2F" w:rsidRDefault="00B65B2F" w:rsidP="00A15C66">
      <w:pPr>
        <w:pStyle w:val="ListParagraph"/>
        <w:numPr>
          <w:ilvl w:val="0"/>
          <w:numId w:val="7"/>
        </w:numPr>
        <w:spacing w:after="0" w:line="240" w:lineRule="auto"/>
        <w:ind w:left="1134" w:hanging="567"/>
        <w:rPr>
          <w:rFonts w:ascii="Arial" w:hAnsi="Arial" w:cs="Arial"/>
        </w:rPr>
      </w:pPr>
      <w:r>
        <w:rPr>
          <w:rFonts w:ascii="Arial" w:hAnsi="Arial" w:cs="Arial"/>
        </w:rPr>
        <w:t xml:space="preserve">Reviewing reports  and key communications on receipt to identify any University issues </w:t>
      </w:r>
    </w:p>
    <w:p w14:paraId="58B5FBB4" w14:textId="3476BD8E" w:rsidR="00E4789F" w:rsidRPr="002959E4" w:rsidRDefault="00E4789F" w:rsidP="00A15C66">
      <w:pPr>
        <w:pStyle w:val="ListParagraph"/>
        <w:numPr>
          <w:ilvl w:val="0"/>
          <w:numId w:val="7"/>
        </w:numPr>
        <w:spacing w:after="0" w:line="240" w:lineRule="auto"/>
        <w:ind w:left="1134" w:hanging="567"/>
        <w:rPr>
          <w:rFonts w:ascii="Arial" w:hAnsi="Arial" w:cs="Arial"/>
        </w:rPr>
      </w:pPr>
      <w:r w:rsidRPr="002959E4">
        <w:rPr>
          <w:rFonts w:ascii="Arial" w:hAnsi="Arial" w:cs="Arial"/>
        </w:rPr>
        <w:t>Providing the annually updated register, including details of any forthcoming engagements</w:t>
      </w:r>
      <w:r w:rsidR="00EE45F5">
        <w:rPr>
          <w:rFonts w:ascii="Arial" w:hAnsi="Arial" w:cs="Arial"/>
        </w:rPr>
        <w:t xml:space="preserve"> to the College LTQEC</w:t>
      </w:r>
      <w:r w:rsidR="009B594B">
        <w:rPr>
          <w:rFonts w:ascii="Arial" w:hAnsi="Arial" w:cs="Arial"/>
        </w:rPr>
        <w:t xml:space="preserve"> and keeping ASQEC regularly informed of PSRB engagements</w:t>
      </w:r>
    </w:p>
    <w:p w14:paraId="58861DBA" w14:textId="77777777" w:rsidR="00E4789F" w:rsidRPr="002959E4" w:rsidRDefault="00E4789F" w:rsidP="00A15C66">
      <w:pPr>
        <w:pStyle w:val="ListParagraph"/>
        <w:numPr>
          <w:ilvl w:val="0"/>
          <w:numId w:val="7"/>
        </w:numPr>
        <w:spacing w:after="0" w:line="240" w:lineRule="auto"/>
        <w:ind w:left="1134" w:hanging="567"/>
        <w:rPr>
          <w:rFonts w:ascii="Arial" w:hAnsi="Arial" w:cs="Arial"/>
        </w:rPr>
      </w:pPr>
      <w:r w:rsidRPr="002959E4">
        <w:rPr>
          <w:rFonts w:ascii="Arial" w:hAnsi="Arial" w:cs="Arial"/>
        </w:rPr>
        <w:t>Ensuring PSRBs are formally notified of the contacts for all correspondence with the University – normally a School contact and an AQU contact</w:t>
      </w:r>
    </w:p>
    <w:p w14:paraId="2C2F53A5" w14:textId="053B5AC4" w:rsidR="00E4789F" w:rsidRDefault="00E4789F" w:rsidP="00A15C66">
      <w:pPr>
        <w:pStyle w:val="ListParagraph"/>
        <w:numPr>
          <w:ilvl w:val="0"/>
          <w:numId w:val="7"/>
        </w:numPr>
        <w:spacing w:after="0" w:line="240" w:lineRule="auto"/>
        <w:ind w:left="1134" w:hanging="567"/>
        <w:rPr>
          <w:rFonts w:ascii="Arial" w:hAnsi="Arial" w:cs="Arial"/>
        </w:rPr>
      </w:pPr>
      <w:r w:rsidRPr="002959E4">
        <w:rPr>
          <w:rFonts w:ascii="Arial" w:hAnsi="Arial" w:cs="Arial"/>
        </w:rPr>
        <w:lastRenderedPageBreak/>
        <w:t>Providing support to key staff involved in th</w:t>
      </w:r>
      <w:r w:rsidR="00EE45F5">
        <w:rPr>
          <w:rFonts w:ascii="Arial" w:hAnsi="Arial" w:cs="Arial"/>
        </w:rPr>
        <w:t>e management of any course</w:t>
      </w:r>
      <w:r w:rsidRPr="002959E4">
        <w:rPr>
          <w:rFonts w:ascii="Arial" w:hAnsi="Arial" w:cs="Arial"/>
        </w:rPr>
        <w:t xml:space="preserve"> accredited by a PSRB, to ensure all are familiar with and understand University protocols for PSRB engagements and communications, and the specific PSRB requirements</w:t>
      </w:r>
    </w:p>
    <w:p w14:paraId="2EA8AA13" w14:textId="2FF99620" w:rsidR="00E4789F" w:rsidRPr="002959E4" w:rsidRDefault="00E4789F" w:rsidP="000E1692">
      <w:pPr>
        <w:spacing w:after="0" w:line="240" w:lineRule="auto"/>
        <w:ind w:left="567" w:hanging="567"/>
        <w:rPr>
          <w:rFonts w:ascii="Arial" w:hAnsi="Arial" w:cs="Arial"/>
        </w:rPr>
      </w:pPr>
    </w:p>
    <w:p w14:paraId="1791592C" w14:textId="7C68A8E3" w:rsidR="00E4789F" w:rsidRPr="00F526E7" w:rsidRDefault="00E4789F" w:rsidP="00F526E7">
      <w:pPr>
        <w:pStyle w:val="ListParagraph"/>
        <w:numPr>
          <w:ilvl w:val="0"/>
          <w:numId w:val="22"/>
        </w:numPr>
        <w:spacing w:after="0" w:line="240" w:lineRule="auto"/>
        <w:ind w:hanging="720"/>
        <w:rPr>
          <w:rFonts w:ascii="Arial" w:hAnsi="Arial" w:cs="Arial"/>
        </w:rPr>
      </w:pPr>
      <w:r w:rsidRPr="00F526E7">
        <w:rPr>
          <w:rFonts w:ascii="Arial" w:hAnsi="Arial" w:cs="Arial"/>
        </w:rPr>
        <w:t>Schools are responsible for:</w:t>
      </w:r>
    </w:p>
    <w:p w14:paraId="3E169E4A" w14:textId="77777777" w:rsidR="00E4789F" w:rsidRPr="002959E4" w:rsidRDefault="00E4789F" w:rsidP="00430860">
      <w:pPr>
        <w:pStyle w:val="ListParagraph"/>
        <w:numPr>
          <w:ilvl w:val="0"/>
          <w:numId w:val="8"/>
        </w:numPr>
        <w:spacing w:after="0" w:line="240" w:lineRule="auto"/>
        <w:ind w:left="1134" w:hanging="567"/>
        <w:rPr>
          <w:rFonts w:ascii="Arial" w:hAnsi="Arial" w:cs="Arial"/>
        </w:rPr>
      </w:pPr>
      <w:r w:rsidRPr="002959E4">
        <w:rPr>
          <w:rFonts w:ascii="Arial" w:hAnsi="Arial" w:cs="Arial"/>
        </w:rPr>
        <w:t>Managing all PSRB-related courses in their subject areas and ensuring that the courses continue to meet PSRB requirements</w:t>
      </w:r>
    </w:p>
    <w:p w14:paraId="04C3444B" w14:textId="034AE981" w:rsidR="00E4789F" w:rsidRPr="002959E4" w:rsidRDefault="00E4789F" w:rsidP="00430860">
      <w:pPr>
        <w:pStyle w:val="ListParagraph"/>
        <w:numPr>
          <w:ilvl w:val="0"/>
          <w:numId w:val="8"/>
        </w:numPr>
        <w:spacing w:after="0" w:line="240" w:lineRule="auto"/>
        <w:ind w:left="1134" w:hanging="567"/>
        <w:rPr>
          <w:rFonts w:ascii="Arial" w:hAnsi="Arial" w:cs="Arial"/>
        </w:rPr>
      </w:pPr>
      <w:r w:rsidRPr="002959E4">
        <w:rPr>
          <w:rFonts w:ascii="Arial" w:hAnsi="Arial" w:cs="Arial"/>
        </w:rPr>
        <w:t xml:space="preserve">Informing </w:t>
      </w:r>
      <w:r w:rsidR="00DC3AD7">
        <w:rPr>
          <w:rFonts w:ascii="Arial" w:hAnsi="Arial" w:cs="Arial"/>
        </w:rPr>
        <w:t xml:space="preserve">AQU and </w:t>
      </w:r>
      <w:r w:rsidRPr="002959E4">
        <w:rPr>
          <w:rFonts w:ascii="Arial" w:hAnsi="Arial" w:cs="Arial"/>
        </w:rPr>
        <w:t>PSRBs of any changes to accredited/recognised/approved courses</w:t>
      </w:r>
    </w:p>
    <w:p w14:paraId="521FA8B1" w14:textId="77777777" w:rsidR="00E4789F" w:rsidRPr="002959E4" w:rsidRDefault="00E4789F" w:rsidP="00430860">
      <w:pPr>
        <w:pStyle w:val="ListParagraph"/>
        <w:numPr>
          <w:ilvl w:val="0"/>
          <w:numId w:val="8"/>
        </w:numPr>
        <w:spacing w:after="0" w:line="240" w:lineRule="auto"/>
        <w:ind w:left="1134" w:hanging="567"/>
        <w:rPr>
          <w:rFonts w:ascii="Arial" w:hAnsi="Arial" w:cs="Arial"/>
        </w:rPr>
      </w:pPr>
      <w:r w:rsidRPr="002959E4">
        <w:rPr>
          <w:rFonts w:ascii="Arial" w:hAnsi="Arial" w:cs="Arial"/>
        </w:rPr>
        <w:t>Liaising with PSRBs through a key School contact for each PSRB or course</w:t>
      </w:r>
    </w:p>
    <w:p w14:paraId="23977807" w14:textId="0C8A4805" w:rsidR="00E4789F" w:rsidRPr="002959E4" w:rsidRDefault="00E4789F" w:rsidP="00430860">
      <w:pPr>
        <w:pStyle w:val="ListParagraph"/>
        <w:numPr>
          <w:ilvl w:val="0"/>
          <w:numId w:val="8"/>
        </w:numPr>
        <w:spacing w:after="0" w:line="240" w:lineRule="auto"/>
        <w:ind w:left="1134" w:hanging="567"/>
        <w:rPr>
          <w:rFonts w:ascii="Arial" w:hAnsi="Arial" w:cs="Arial"/>
        </w:rPr>
      </w:pPr>
      <w:r w:rsidRPr="002959E4">
        <w:rPr>
          <w:rFonts w:ascii="Arial" w:hAnsi="Arial" w:cs="Arial"/>
        </w:rPr>
        <w:t>Submitting reports to PSRBs and arranging PSRB visits in accordance with PSRB requirements and deadlines</w:t>
      </w:r>
      <w:r w:rsidR="00DC3AD7">
        <w:rPr>
          <w:rFonts w:ascii="Arial" w:hAnsi="Arial" w:cs="Arial"/>
        </w:rPr>
        <w:t>, in partnership with AQU</w:t>
      </w:r>
    </w:p>
    <w:p w14:paraId="04E46356" w14:textId="0554DA81" w:rsidR="00E4789F" w:rsidRPr="002959E4" w:rsidRDefault="00E4789F" w:rsidP="00430860">
      <w:pPr>
        <w:pStyle w:val="ListParagraph"/>
        <w:numPr>
          <w:ilvl w:val="0"/>
          <w:numId w:val="8"/>
        </w:numPr>
        <w:spacing w:after="0" w:line="240" w:lineRule="auto"/>
        <w:ind w:left="1134" w:hanging="567"/>
        <w:rPr>
          <w:rFonts w:ascii="Arial" w:hAnsi="Arial" w:cs="Arial"/>
        </w:rPr>
      </w:pPr>
      <w:r w:rsidRPr="002959E4">
        <w:rPr>
          <w:rFonts w:ascii="Arial" w:hAnsi="Arial" w:cs="Arial"/>
        </w:rPr>
        <w:t xml:space="preserve">Sending copies of all </w:t>
      </w:r>
      <w:r w:rsidR="0087429D">
        <w:rPr>
          <w:rFonts w:ascii="Arial" w:hAnsi="Arial" w:cs="Arial"/>
        </w:rPr>
        <w:t xml:space="preserve">reports and </w:t>
      </w:r>
      <w:r w:rsidRPr="002959E4">
        <w:rPr>
          <w:rFonts w:ascii="Arial" w:hAnsi="Arial" w:cs="Arial"/>
        </w:rPr>
        <w:t>correspondence to the Academic Quality Unit</w:t>
      </w:r>
    </w:p>
    <w:p w14:paraId="48C395F6" w14:textId="77777777" w:rsidR="00E4789F" w:rsidRPr="002959E4" w:rsidRDefault="00E4789F" w:rsidP="00430860">
      <w:pPr>
        <w:pStyle w:val="ListParagraph"/>
        <w:numPr>
          <w:ilvl w:val="0"/>
          <w:numId w:val="8"/>
        </w:numPr>
        <w:spacing w:after="0" w:line="240" w:lineRule="auto"/>
        <w:ind w:left="1134" w:hanging="567"/>
        <w:rPr>
          <w:rFonts w:ascii="Arial" w:hAnsi="Arial" w:cs="Arial"/>
        </w:rPr>
      </w:pPr>
      <w:r w:rsidRPr="002959E4">
        <w:rPr>
          <w:rFonts w:ascii="Arial" w:hAnsi="Arial" w:cs="Arial"/>
        </w:rPr>
        <w:t>Informing AQU of all engagements with PSRBs (the PSRB engagement form is available for use as appropriate)</w:t>
      </w:r>
    </w:p>
    <w:p w14:paraId="36A506C7" w14:textId="77777777" w:rsidR="00AF7B39" w:rsidRPr="002959E4" w:rsidRDefault="00E4789F" w:rsidP="00430860">
      <w:pPr>
        <w:pStyle w:val="ListParagraph"/>
        <w:numPr>
          <w:ilvl w:val="0"/>
          <w:numId w:val="8"/>
        </w:numPr>
        <w:spacing w:after="0" w:line="240" w:lineRule="auto"/>
        <w:ind w:left="1134" w:hanging="567"/>
        <w:rPr>
          <w:rFonts w:ascii="Arial" w:hAnsi="Arial" w:cs="Arial"/>
        </w:rPr>
      </w:pPr>
      <w:r w:rsidRPr="002959E4">
        <w:rPr>
          <w:rFonts w:ascii="Arial" w:hAnsi="Arial" w:cs="Arial"/>
        </w:rPr>
        <w:t>Informing AQU of any amendments to details kept within the central PSRB register</w:t>
      </w:r>
    </w:p>
    <w:p w14:paraId="0D892A52" w14:textId="61092388" w:rsidR="00E4789F" w:rsidRPr="002959E4" w:rsidRDefault="00E4789F" w:rsidP="00430860">
      <w:pPr>
        <w:pStyle w:val="ListParagraph"/>
        <w:numPr>
          <w:ilvl w:val="0"/>
          <w:numId w:val="8"/>
        </w:numPr>
        <w:spacing w:after="0" w:line="240" w:lineRule="auto"/>
        <w:ind w:left="1134" w:hanging="567"/>
        <w:rPr>
          <w:rFonts w:ascii="Arial" w:hAnsi="Arial" w:cs="Arial"/>
        </w:rPr>
      </w:pPr>
      <w:r w:rsidRPr="002959E4">
        <w:rPr>
          <w:rFonts w:ascii="Arial" w:hAnsi="Arial" w:cs="Arial"/>
        </w:rPr>
        <w:t xml:space="preserve">Ensuring effective oversight at senior management level of all PSRB engagements and communications, including monitoring and </w:t>
      </w:r>
      <w:r w:rsidR="00AF7B39" w:rsidRPr="002959E4">
        <w:rPr>
          <w:rFonts w:ascii="Arial" w:hAnsi="Arial" w:cs="Arial"/>
        </w:rPr>
        <w:t xml:space="preserve">review of the PSRB register, </w:t>
      </w:r>
      <w:r w:rsidRPr="002959E4">
        <w:rPr>
          <w:rFonts w:ascii="Arial" w:hAnsi="Arial" w:cs="Arial"/>
        </w:rPr>
        <w:t>receipt of PSRB reports</w:t>
      </w:r>
      <w:r w:rsidR="00AF7B39" w:rsidRPr="002959E4">
        <w:rPr>
          <w:rFonts w:ascii="Arial" w:hAnsi="Arial" w:cs="Arial"/>
        </w:rPr>
        <w:t xml:space="preserve"> and meeting any financial obligations, for example, annual accreditation fees</w:t>
      </w:r>
    </w:p>
    <w:p w14:paraId="6229367F" w14:textId="77777777" w:rsidR="00D178F1" w:rsidRPr="00AA6ACC" w:rsidRDefault="00E4789F" w:rsidP="000E1692">
      <w:pPr>
        <w:tabs>
          <w:tab w:val="left" w:pos="7365"/>
        </w:tabs>
        <w:spacing w:after="0" w:line="240" w:lineRule="auto"/>
        <w:ind w:left="567" w:hanging="567"/>
        <w:rPr>
          <w:rFonts w:ascii="Arial" w:hAnsi="Arial" w:cs="Arial"/>
          <w:sz w:val="23"/>
          <w:szCs w:val="23"/>
        </w:rPr>
      </w:pPr>
      <w:r w:rsidRPr="002959E4">
        <w:rPr>
          <w:rFonts w:ascii="Arial" w:hAnsi="Arial" w:cs="Arial"/>
        </w:rPr>
        <w:tab/>
      </w:r>
    </w:p>
    <w:sectPr w:rsidR="00D178F1" w:rsidRPr="00AA6AC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852A" w14:textId="77777777" w:rsidR="003754A4" w:rsidRDefault="003754A4" w:rsidP="003754A4">
      <w:pPr>
        <w:spacing w:after="0" w:line="240" w:lineRule="auto"/>
      </w:pPr>
      <w:r>
        <w:separator/>
      </w:r>
    </w:p>
  </w:endnote>
  <w:endnote w:type="continuationSeparator" w:id="0">
    <w:p w14:paraId="437C388D" w14:textId="77777777" w:rsidR="003754A4" w:rsidRDefault="003754A4" w:rsidP="0037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C13D" w14:textId="77777777" w:rsidR="003754A4" w:rsidRDefault="00375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3E54" w14:textId="75CBE4B9" w:rsidR="003754A4" w:rsidRDefault="003754A4">
    <w:pPr>
      <w:pStyle w:val="Footer"/>
    </w:pPr>
    <w:r>
      <w:t>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0703" w14:textId="77777777" w:rsidR="003754A4" w:rsidRDefault="00375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4397" w14:textId="77777777" w:rsidR="003754A4" w:rsidRDefault="003754A4" w:rsidP="003754A4">
      <w:pPr>
        <w:spacing w:after="0" w:line="240" w:lineRule="auto"/>
      </w:pPr>
      <w:r>
        <w:separator/>
      </w:r>
    </w:p>
  </w:footnote>
  <w:footnote w:type="continuationSeparator" w:id="0">
    <w:p w14:paraId="587779EA" w14:textId="77777777" w:rsidR="003754A4" w:rsidRDefault="003754A4" w:rsidP="00375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1C19" w14:textId="77777777" w:rsidR="003754A4" w:rsidRDefault="00375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9C7B" w14:textId="77777777" w:rsidR="003754A4" w:rsidRDefault="003754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7AA0" w14:textId="77777777" w:rsidR="003754A4" w:rsidRDefault="00375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6F0"/>
    <w:multiLevelType w:val="hybridMultilevel"/>
    <w:tmpl w:val="F3EEA76C"/>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368AF"/>
    <w:multiLevelType w:val="hybridMultilevel"/>
    <w:tmpl w:val="924E2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055F9B"/>
    <w:multiLevelType w:val="hybridMultilevel"/>
    <w:tmpl w:val="0AF23D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15FDD"/>
    <w:multiLevelType w:val="hybridMultilevel"/>
    <w:tmpl w:val="D65AF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B68DF"/>
    <w:multiLevelType w:val="hybridMultilevel"/>
    <w:tmpl w:val="5C1CF95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C40F0"/>
    <w:multiLevelType w:val="hybridMultilevel"/>
    <w:tmpl w:val="90FECFAA"/>
    <w:lvl w:ilvl="0" w:tplc="A3DCA886">
      <w:numFmt w:val="bullet"/>
      <w:lvlText w:val="-"/>
      <w:lvlJc w:val="left"/>
      <w:pPr>
        <w:ind w:left="2466" w:hanging="360"/>
      </w:pPr>
      <w:rPr>
        <w:rFonts w:ascii="Arial" w:eastAsia="Times New Roman" w:hAnsi="Arial" w:cs="Arial" w:hint="default"/>
      </w:rPr>
    </w:lvl>
    <w:lvl w:ilvl="1" w:tplc="08090003" w:tentative="1">
      <w:start w:val="1"/>
      <w:numFmt w:val="bullet"/>
      <w:lvlText w:val="o"/>
      <w:lvlJc w:val="left"/>
      <w:pPr>
        <w:ind w:left="3186" w:hanging="360"/>
      </w:pPr>
      <w:rPr>
        <w:rFonts w:ascii="Courier New" w:hAnsi="Courier New" w:cs="Courier New" w:hint="default"/>
      </w:rPr>
    </w:lvl>
    <w:lvl w:ilvl="2" w:tplc="08090005" w:tentative="1">
      <w:start w:val="1"/>
      <w:numFmt w:val="bullet"/>
      <w:lvlText w:val=""/>
      <w:lvlJc w:val="left"/>
      <w:pPr>
        <w:ind w:left="3906" w:hanging="360"/>
      </w:pPr>
      <w:rPr>
        <w:rFonts w:ascii="Wingdings" w:hAnsi="Wingdings" w:hint="default"/>
      </w:rPr>
    </w:lvl>
    <w:lvl w:ilvl="3" w:tplc="08090001" w:tentative="1">
      <w:start w:val="1"/>
      <w:numFmt w:val="bullet"/>
      <w:lvlText w:val=""/>
      <w:lvlJc w:val="left"/>
      <w:pPr>
        <w:ind w:left="4626" w:hanging="360"/>
      </w:pPr>
      <w:rPr>
        <w:rFonts w:ascii="Symbol" w:hAnsi="Symbol" w:hint="default"/>
      </w:rPr>
    </w:lvl>
    <w:lvl w:ilvl="4" w:tplc="08090003" w:tentative="1">
      <w:start w:val="1"/>
      <w:numFmt w:val="bullet"/>
      <w:lvlText w:val="o"/>
      <w:lvlJc w:val="left"/>
      <w:pPr>
        <w:ind w:left="5346" w:hanging="360"/>
      </w:pPr>
      <w:rPr>
        <w:rFonts w:ascii="Courier New" w:hAnsi="Courier New" w:cs="Courier New" w:hint="default"/>
      </w:rPr>
    </w:lvl>
    <w:lvl w:ilvl="5" w:tplc="08090005" w:tentative="1">
      <w:start w:val="1"/>
      <w:numFmt w:val="bullet"/>
      <w:lvlText w:val=""/>
      <w:lvlJc w:val="left"/>
      <w:pPr>
        <w:ind w:left="6066" w:hanging="360"/>
      </w:pPr>
      <w:rPr>
        <w:rFonts w:ascii="Wingdings" w:hAnsi="Wingdings" w:hint="default"/>
      </w:rPr>
    </w:lvl>
    <w:lvl w:ilvl="6" w:tplc="08090001" w:tentative="1">
      <w:start w:val="1"/>
      <w:numFmt w:val="bullet"/>
      <w:lvlText w:val=""/>
      <w:lvlJc w:val="left"/>
      <w:pPr>
        <w:ind w:left="6786" w:hanging="360"/>
      </w:pPr>
      <w:rPr>
        <w:rFonts w:ascii="Symbol" w:hAnsi="Symbol" w:hint="default"/>
      </w:rPr>
    </w:lvl>
    <w:lvl w:ilvl="7" w:tplc="08090003" w:tentative="1">
      <w:start w:val="1"/>
      <w:numFmt w:val="bullet"/>
      <w:lvlText w:val="o"/>
      <w:lvlJc w:val="left"/>
      <w:pPr>
        <w:ind w:left="7506" w:hanging="360"/>
      </w:pPr>
      <w:rPr>
        <w:rFonts w:ascii="Courier New" w:hAnsi="Courier New" w:cs="Courier New" w:hint="default"/>
      </w:rPr>
    </w:lvl>
    <w:lvl w:ilvl="8" w:tplc="08090005" w:tentative="1">
      <w:start w:val="1"/>
      <w:numFmt w:val="bullet"/>
      <w:lvlText w:val=""/>
      <w:lvlJc w:val="left"/>
      <w:pPr>
        <w:ind w:left="8226" w:hanging="360"/>
      </w:pPr>
      <w:rPr>
        <w:rFonts w:ascii="Wingdings" w:hAnsi="Wingdings" w:hint="default"/>
      </w:rPr>
    </w:lvl>
  </w:abstractNum>
  <w:abstractNum w:abstractNumId="6" w15:restartNumberingAfterBreak="0">
    <w:nsid w:val="210733E9"/>
    <w:multiLevelType w:val="hybridMultilevel"/>
    <w:tmpl w:val="78D2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7114F"/>
    <w:multiLevelType w:val="hybridMultilevel"/>
    <w:tmpl w:val="8110A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C2403"/>
    <w:multiLevelType w:val="hybridMultilevel"/>
    <w:tmpl w:val="837C9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E57AD"/>
    <w:multiLevelType w:val="hybridMultilevel"/>
    <w:tmpl w:val="C018EE00"/>
    <w:lvl w:ilvl="0" w:tplc="01580BE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8D7C41"/>
    <w:multiLevelType w:val="hybridMultilevel"/>
    <w:tmpl w:val="9474AE4A"/>
    <w:lvl w:ilvl="0" w:tplc="01580BE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5B50E0"/>
    <w:multiLevelType w:val="hybridMultilevel"/>
    <w:tmpl w:val="EC1A5800"/>
    <w:lvl w:ilvl="0" w:tplc="4C8C15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A57CD"/>
    <w:multiLevelType w:val="hybridMultilevel"/>
    <w:tmpl w:val="20A6F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2143BF"/>
    <w:multiLevelType w:val="hybridMultilevel"/>
    <w:tmpl w:val="6CF681C6"/>
    <w:lvl w:ilvl="0" w:tplc="01580BE6">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3A784E"/>
    <w:multiLevelType w:val="hybridMultilevel"/>
    <w:tmpl w:val="DF36AE38"/>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5" w15:restartNumberingAfterBreak="0">
    <w:nsid w:val="51A72FBA"/>
    <w:multiLevelType w:val="hybridMultilevel"/>
    <w:tmpl w:val="3C3E8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233CCD"/>
    <w:multiLevelType w:val="hybridMultilevel"/>
    <w:tmpl w:val="F2D2E53A"/>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7765A1"/>
    <w:multiLevelType w:val="hybridMultilevel"/>
    <w:tmpl w:val="5B46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2F6A0B"/>
    <w:multiLevelType w:val="hybridMultilevel"/>
    <w:tmpl w:val="FFC4BC18"/>
    <w:lvl w:ilvl="0" w:tplc="65C00D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974DE"/>
    <w:multiLevelType w:val="hybridMultilevel"/>
    <w:tmpl w:val="99EEE2E2"/>
    <w:lvl w:ilvl="0" w:tplc="01580BE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A33488"/>
    <w:multiLevelType w:val="hybridMultilevel"/>
    <w:tmpl w:val="75F84A4C"/>
    <w:lvl w:ilvl="0" w:tplc="4C8C15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B56A9F"/>
    <w:multiLevelType w:val="hybridMultilevel"/>
    <w:tmpl w:val="57B2C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8"/>
  </w:num>
  <w:num w:numId="3">
    <w:abstractNumId w:val="1"/>
  </w:num>
  <w:num w:numId="4">
    <w:abstractNumId w:val="14"/>
  </w:num>
  <w:num w:numId="5">
    <w:abstractNumId w:val="5"/>
  </w:num>
  <w:num w:numId="6">
    <w:abstractNumId w:val="15"/>
  </w:num>
  <w:num w:numId="7">
    <w:abstractNumId w:val="21"/>
  </w:num>
  <w:num w:numId="8">
    <w:abstractNumId w:val="6"/>
  </w:num>
  <w:num w:numId="9">
    <w:abstractNumId w:val="20"/>
  </w:num>
  <w:num w:numId="10">
    <w:abstractNumId w:val="11"/>
  </w:num>
  <w:num w:numId="11">
    <w:abstractNumId w:val="10"/>
  </w:num>
  <w:num w:numId="12">
    <w:abstractNumId w:val="3"/>
  </w:num>
  <w:num w:numId="13">
    <w:abstractNumId w:val="7"/>
  </w:num>
  <w:num w:numId="14">
    <w:abstractNumId w:val="13"/>
  </w:num>
  <w:num w:numId="15">
    <w:abstractNumId w:val="2"/>
  </w:num>
  <w:num w:numId="16">
    <w:abstractNumId w:val="9"/>
  </w:num>
  <w:num w:numId="17">
    <w:abstractNumId w:val="19"/>
  </w:num>
  <w:num w:numId="18">
    <w:abstractNumId w:val="12"/>
  </w:num>
  <w:num w:numId="19">
    <w:abstractNumId w:val="17"/>
  </w:num>
  <w:num w:numId="20">
    <w:abstractNumId w:val="4"/>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2E"/>
    <w:rsid w:val="000062E3"/>
    <w:rsid w:val="00016041"/>
    <w:rsid w:val="00026FE5"/>
    <w:rsid w:val="00026FFA"/>
    <w:rsid w:val="00041229"/>
    <w:rsid w:val="0005235F"/>
    <w:rsid w:val="0006187A"/>
    <w:rsid w:val="00065944"/>
    <w:rsid w:val="000964EF"/>
    <w:rsid w:val="000A2971"/>
    <w:rsid w:val="000B7B32"/>
    <w:rsid w:val="000C6D84"/>
    <w:rsid w:val="000E0110"/>
    <w:rsid w:val="000E1692"/>
    <w:rsid w:val="00146FB8"/>
    <w:rsid w:val="0017498F"/>
    <w:rsid w:val="001A5520"/>
    <w:rsid w:val="001C3E51"/>
    <w:rsid w:val="001E57FB"/>
    <w:rsid w:val="001F7F6E"/>
    <w:rsid w:val="002013BD"/>
    <w:rsid w:val="002663D3"/>
    <w:rsid w:val="002959E4"/>
    <w:rsid w:val="002C4E5A"/>
    <w:rsid w:val="002D7F2A"/>
    <w:rsid w:val="002F75F2"/>
    <w:rsid w:val="00323AAB"/>
    <w:rsid w:val="00327CE7"/>
    <w:rsid w:val="003754A4"/>
    <w:rsid w:val="003A03A9"/>
    <w:rsid w:val="003B5B58"/>
    <w:rsid w:val="003B622E"/>
    <w:rsid w:val="003B720C"/>
    <w:rsid w:val="003C1691"/>
    <w:rsid w:val="003D2FE3"/>
    <w:rsid w:val="003D5733"/>
    <w:rsid w:val="004101FE"/>
    <w:rsid w:val="00430860"/>
    <w:rsid w:val="00456002"/>
    <w:rsid w:val="00472A8C"/>
    <w:rsid w:val="00474532"/>
    <w:rsid w:val="004B49B9"/>
    <w:rsid w:val="004C15B9"/>
    <w:rsid w:val="004E48BF"/>
    <w:rsid w:val="00503CDB"/>
    <w:rsid w:val="00510FDF"/>
    <w:rsid w:val="00563C80"/>
    <w:rsid w:val="005848E1"/>
    <w:rsid w:val="005900E0"/>
    <w:rsid w:val="005960AA"/>
    <w:rsid w:val="005A28F5"/>
    <w:rsid w:val="005A4B87"/>
    <w:rsid w:val="005B7DAE"/>
    <w:rsid w:val="006177A0"/>
    <w:rsid w:val="00625783"/>
    <w:rsid w:val="00627C7E"/>
    <w:rsid w:val="006446C9"/>
    <w:rsid w:val="00655884"/>
    <w:rsid w:val="006613D3"/>
    <w:rsid w:val="00671A4E"/>
    <w:rsid w:val="00695EEF"/>
    <w:rsid w:val="006C5114"/>
    <w:rsid w:val="00704B0E"/>
    <w:rsid w:val="00707650"/>
    <w:rsid w:val="00724CEF"/>
    <w:rsid w:val="00725AD7"/>
    <w:rsid w:val="0073177C"/>
    <w:rsid w:val="00743B83"/>
    <w:rsid w:val="00774AD2"/>
    <w:rsid w:val="00785E05"/>
    <w:rsid w:val="007936AA"/>
    <w:rsid w:val="007A0A8F"/>
    <w:rsid w:val="007A1C58"/>
    <w:rsid w:val="007B711E"/>
    <w:rsid w:val="007D4F2D"/>
    <w:rsid w:val="007D795C"/>
    <w:rsid w:val="008046DC"/>
    <w:rsid w:val="00820E46"/>
    <w:rsid w:val="008276EA"/>
    <w:rsid w:val="008540CA"/>
    <w:rsid w:val="00865325"/>
    <w:rsid w:val="0087429D"/>
    <w:rsid w:val="00874959"/>
    <w:rsid w:val="00881BAF"/>
    <w:rsid w:val="00887248"/>
    <w:rsid w:val="0088794A"/>
    <w:rsid w:val="00892CD8"/>
    <w:rsid w:val="008C0088"/>
    <w:rsid w:val="008D4B13"/>
    <w:rsid w:val="008D5A08"/>
    <w:rsid w:val="008E4B37"/>
    <w:rsid w:val="008E7C4D"/>
    <w:rsid w:val="009206A6"/>
    <w:rsid w:val="009307E0"/>
    <w:rsid w:val="00942BE4"/>
    <w:rsid w:val="00945506"/>
    <w:rsid w:val="00977871"/>
    <w:rsid w:val="009B594B"/>
    <w:rsid w:val="009C6673"/>
    <w:rsid w:val="009D4539"/>
    <w:rsid w:val="009D4E0F"/>
    <w:rsid w:val="00A15C66"/>
    <w:rsid w:val="00A16F22"/>
    <w:rsid w:val="00A274F5"/>
    <w:rsid w:val="00A35677"/>
    <w:rsid w:val="00A4242E"/>
    <w:rsid w:val="00A56A09"/>
    <w:rsid w:val="00A7191A"/>
    <w:rsid w:val="00AA6ACC"/>
    <w:rsid w:val="00AB04D1"/>
    <w:rsid w:val="00AC3AED"/>
    <w:rsid w:val="00AD7C0E"/>
    <w:rsid w:val="00AF2C0A"/>
    <w:rsid w:val="00AF7B39"/>
    <w:rsid w:val="00AF7CAD"/>
    <w:rsid w:val="00B03515"/>
    <w:rsid w:val="00B10F09"/>
    <w:rsid w:val="00B134E2"/>
    <w:rsid w:val="00B1716A"/>
    <w:rsid w:val="00B21A40"/>
    <w:rsid w:val="00B36142"/>
    <w:rsid w:val="00B539EC"/>
    <w:rsid w:val="00B65B2F"/>
    <w:rsid w:val="00BB2F60"/>
    <w:rsid w:val="00BB33F7"/>
    <w:rsid w:val="00BB3647"/>
    <w:rsid w:val="00BC0F32"/>
    <w:rsid w:val="00C100CD"/>
    <w:rsid w:val="00C15473"/>
    <w:rsid w:val="00C245BF"/>
    <w:rsid w:val="00CA39A0"/>
    <w:rsid w:val="00CC58DD"/>
    <w:rsid w:val="00D174D8"/>
    <w:rsid w:val="00D178F1"/>
    <w:rsid w:val="00D4697C"/>
    <w:rsid w:val="00D52938"/>
    <w:rsid w:val="00D5430A"/>
    <w:rsid w:val="00D82928"/>
    <w:rsid w:val="00D843CA"/>
    <w:rsid w:val="00DB414C"/>
    <w:rsid w:val="00DB7C4D"/>
    <w:rsid w:val="00DC3AD7"/>
    <w:rsid w:val="00DC6E55"/>
    <w:rsid w:val="00E4789F"/>
    <w:rsid w:val="00E47A52"/>
    <w:rsid w:val="00E9344E"/>
    <w:rsid w:val="00EB13C0"/>
    <w:rsid w:val="00EB484E"/>
    <w:rsid w:val="00EE45F5"/>
    <w:rsid w:val="00EE543C"/>
    <w:rsid w:val="00EE6852"/>
    <w:rsid w:val="00F20486"/>
    <w:rsid w:val="00F42053"/>
    <w:rsid w:val="00F526E7"/>
    <w:rsid w:val="00F56B85"/>
    <w:rsid w:val="00FC4395"/>
    <w:rsid w:val="00FF0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E31E"/>
  <w15:chartTrackingRefBased/>
  <w15:docId w15:val="{75FF1716-4165-4388-9F2F-FA460604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C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8E4B37"/>
    <w:pPr>
      <w:spacing w:before="100" w:beforeAutospacing="1" w:after="100" w:afterAutospacing="1" w:line="240" w:lineRule="auto"/>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F2C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F2A"/>
    <w:pPr>
      <w:ind w:left="720"/>
      <w:contextualSpacing/>
    </w:pPr>
  </w:style>
  <w:style w:type="character" w:styleId="Hyperlink">
    <w:name w:val="Hyperlink"/>
    <w:basedOn w:val="DefaultParagraphFont"/>
    <w:uiPriority w:val="99"/>
    <w:unhideWhenUsed/>
    <w:rsid w:val="00BC0F32"/>
    <w:rPr>
      <w:color w:val="0000FF"/>
      <w:u w:val="single"/>
    </w:rPr>
  </w:style>
  <w:style w:type="character" w:customStyle="1" w:styleId="Heading2Char">
    <w:name w:val="Heading 2 Char"/>
    <w:basedOn w:val="DefaultParagraphFont"/>
    <w:link w:val="Heading2"/>
    <w:uiPriority w:val="9"/>
    <w:semiHidden/>
    <w:rsid w:val="008E4B37"/>
    <w:rPr>
      <w:rFonts w:ascii="Times New Roman" w:hAnsi="Times New Roman" w:cs="Times New Roman"/>
      <w:b/>
      <w:bCs/>
      <w:sz w:val="36"/>
      <w:szCs w:val="36"/>
      <w:lang w:eastAsia="en-GB"/>
    </w:rPr>
  </w:style>
  <w:style w:type="paragraph" w:styleId="NormalWeb">
    <w:name w:val="Normal (Web)"/>
    <w:basedOn w:val="Normal"/>
    <w:uiPriority w:val="99"/>
    <w:unhideWhenUsed/>
    <w:rsid w:val="008E4B37"/>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E4B37"/>
    <w:rPr>
      <w:b/>
      <w:bCs/>
    </w:rPr>
  </w:style>
  <w:style w:type="character" w:customStyle="1" w:styleId="Heading1Char">
    <w:name w:val="Heading 1 Char"/>
    <w:basedOn w:val="DefaultParagraphFont"/>
    <w:link w:val="Heading1"/>
    <w:uiPriority w:val="9"/>
    <w:rsid w:val="00AF2C0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F2C0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704B0E"/>
    <w:rPr>
      <w:sz w:val="16"/>
      <w:szCs w:val="16"/>
    </w:rPr>
  </w:style>
  <w:style w:type="paragraph" w:styleId="CommentText">
    <w:name w:val="annotation text"/>
    <w:basedOn w:val="Normal"/>
    <w:link w:val="CommentTextChar"/>
    <w:uiPriority w:val="99"/>
    <w:semiHidden/>
    <w:unhideWhenUsed/>
    <w:rsid w:val="00704B0E"/>
    <w:pPr>
      <w:spacing w:line="240" w:lineRule="auto"/>
    </w:pPr>
    <w:rPr>
      <w:sz w:val="20"/>
      <w:szCs w:val="20"/>
    </w:rPr>
  </w:style>
  <w:style w:type="character" w:customStyle="1" w:styleId="CommentTextChar">
    <w:name w:val="Comment Text Char"/>
    <w:basedOn w:val="DefaultParagraphFont"/>
    <w:link w:val="CommentText"/>
    <w:uiPriority w:val="99"/>
    <w:semiHidden/>
    <w:rsid w:val="00704B0E"/>
    <w:rPr>
      <w:sz w:val="20"/>
      <w:szCs w:val="20"/>
    </w:rPr>
  </w:style>
  <w:style w:type="paragraph" w:styleId="CommentSubject">
    <w:name w:val="annotation subject"/>
    <w:basedOn w:val="CommentText"/>
    <w:next w:val="CommentText"/>
    <w:link w:val="CommentSubjectChar"/>
    <w:uiPriority w:val="99"/>
    <w:semiHidden/>
    <w:unhideWhenUsed/>
    <w:rsid w:val="00704B0E"/>
    <w:rPr>
      <w:b/>
      <w:bCs/>
    </w:rPr>
  </w:style>
  <w:style w:type="character" w:customStyle="1" w:styleId="CommentSubjectChar">
    <w:name w:val="Comment Subject Char"/>
    <w:basedOn w:val="CommentTextChar"/>
    <w:link w:val="CommentSubject"/>
    <w:uiPriority w:val="99"/>
    <w:semiHidden/>
    <w:rsid w:val="00704B0E"/>
    <w:rPr>
      <w:b/>
      <w:bCs/>
      <w:sz w:val="20"/>
      <w:szCs w:val="20"/>
    </w:rPr>
  </w:style>
  <w:style w:type="paragraph" w:styleId="BalloonText">
    <w:name w:val="Balloon Text"/>
    <w:basedOn w:val="Normal"/>
    <w:link w:val="BalloonTextChar"/>
    <w:uiPriority w:val="99"/>
    <w:semiHidden/>
    <w:unhideWhenUsed/>
    <w:rsid w:val="000E0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10"/>
    <w:rPr>
      <w:rFonts w:ascii="Segoe UI" w:hAnsi="Segoe UI" w:cs="Segoe UI"/>
      <w:sz w:val="18"/>
      <w:szCs w:val="18"/>
    </w:rPr>
  </w:style>
  <w:style w:type="character" w:styleId="FollowedHyperlink">
    <w:name w:val="FollowedHyperlink"/>
    <w:basedOn w:val="DefaultParagraphFont"/>
    <w:uiPriority w:val="99"/>
    <w:semiHidden/>
    <w:unhideWhenUsed/>
    <w:rsid w:val="000E0110"/>
    <w:rPr>
      <w:color w:val="954F72" w:themeColor="followedHyperlink"/>
      <w:u w:val="single"/>
    </w:rPr>
  </w:style>
  <w:style w:type="paragraph" w:customStyle="1" w:styleId="bodytext">
    <w:name w:val="bodytext"/>
    <w:basedOn w:val="Normal"/>
    <w:uiPriority w:val="99"/>
    <w:rsid w:val="007A0A8F"/>
    <w:pPr>
      <w:spacing w:before="100" w:beforeAutospacing="1" w:after="100" w:afterAutospacing="1" w:line="240" w:lineRule="auto"/>
    </w:pPr>
    <w:rPr>
      <w:rFonts w:ascii="Verdana" w:eastAsia="Arial Unicode MS" w:hAnsi="Verdana" w:cs="Arial Unicode MS"/>
      <w:sz w:val="24"/>
      <w:szCs w:val="24"/>
    </w:rPr>
  </w:style>
  <w:style w:type="table" w:styleId="TableGrid">
    <w:name w:val="Table Grid"/>
    <w:basedOn w:val="TableNormal"/>
    <w:uiPriority w:val="39"/>
    <w:rsid w:val="007A0A8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n5">
    <w:name w:val="Martin 5"/>
    <w:basedOn w:val="Normal"/>
    <w:rsid w:val="007A0A8F"/>
    <w:pPr>
      <w:tabs>
        <w:tab w:val="left" w:pos="432"/>
      </w:tabs>
      <w:spacing w:after="0" w:line="260" w:lineRule="exact"/>
    </w:pPr>
    <w:rPr>
      <w:rFonts w:ascii="Arial" w:eastAsia="Times New Roman" w:hAnsi="Arial" w:cs="Tahoma"/>
      <w:w w:val="110"/>
      <w:sz w:val="18"/>
      <w:szCs w:val="24"/>
    </w:rPr>
  </w:style>
  <w:style w:type="paragraph" w:styleId="Header">
    <w:name w:val="header"/>
    <w:basedOn w:val="Normal"/>
    <w:link w:val="HeaderChar"/>
    <w:uiPriority w:val="99"/>
    <w:unhideWhenUsed/>
    <w:rsid w:val="00375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4A4"/>
  </w:style>
  <w:style w:type="paragraph" w:styleId="Footer">
    <w:name w:val="footer"/>
    <w:basedOn w:val="Normal"/>
    <w:link w:val="FooterChar"/>
    <w:uiPriority w:val="99"/>
    <w:unhideWhenUsed/>
    <w:rsid w:val="00375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7983">
      <w:bodyDiv w:val="1"/>
      <w:marLeft w:val="0"/>
      <w:marRight w:val="0"/>
      <w:marTop w:val="0"/>
      <w:marBottom w:val="0"/>
      <w:divBdr>
        <w:top w:val="none" w:sz="0" w:space="0" w:color="auto"/>
        <w:left w:val="none" w:sz="0" w:space="0" w:color="auto"/>
        <w:bottom w:val="none" w:sz="0" w:space="0" w:color="auto"/>
        <w:right w:val="none" w:sz="0" w:space="0" w:color="auto"/>
      </w:divBdr>
    </w:div>
    <w:div w:id="1479153586">
      <w:bodyDiv w:val="1"/>
      <w:marLeft w:val="0"/>
      <w:marRight w:val="0"/>
      <w:marTop w:val="0"/>
      <w:marBottom w:val="0"/>
      <w:divBdr>
        <w:top w:val="none" w:sz="0" w:space="0" w:color="auto"/>
        <w:left w:val="none" w:sz="0" w:space="0" w:color="auto"/>
        <w:bottom w:val="none" w:sz="0" w:space="0" w:color="auto"/>
        <w:right w:val="none" w:sz="0" w:space="0" w:color="auto"/>
      </w:divBdr>
      <w:divsChild>
        <w:div w:id="928199241">
          <w:marLeft w:val="0"/>
          <w:marRight w:val="0"/>
          <w:marTop w:val="0"/>
          <w:marBottom w:val="0"/>
          <w:divBdr>
            <w:top w:val="none" w:sz="0" w:space="0" w:color="auto"/>
            <w:left w:val="none" w:sz="0" w:space="0" w:color="auto"/>
            <w:bottom w:val="none" w:sz="0" w:space="0" w:color="auto"/>
            <w:right w:val="none" w:sz="0" w:space="0" w:color="auto"/>
          </w:divBdr>
          <w:divsChild>
            <w:div w:id="1024403340">
              <w:marLeft w:val="0"/>
              <w:marRight w:val="0"/>
              <w:marTop w:val="0"/>
              <w:marBottom w:val="0"/>
              <w:divBdr>
                <w:top w:val="none" w:sz="0" w:space="0" w:color="auto"/>
                <w:left w:val="none" w:sz="0" w:space="0" w:color="auto"/>
                <w:bottom w:val="none" w:sz="0" w:space="0" w:color="auto"/>
                <w:right w:val="none" w:sz="0" w:space="0" w:color="auto"/>
              </w:divBdr>
            </w:div>
          </w:divsChild>
        </w:div>
        <w:div w:id="1460882867">
          <w:marLeft w:val="0"/>
          <w:marRight w:val="0"/>
          <w:marTop w:val="0"/>
          <w:marBottom w:val="0"/>
          <w:divBdr>
            <w:top w:val="none" w:sz="0" w:space="0" w:color="auto"/>
            <w:left w:val="none" w:sz="0" w:space="0" w:color="auto"/>
            <w:bottom w:val="none" w:sz="0" w:space="0" w:color="auto"/>
            <w:right w:val="none" w:sz="0" w:space="0" w:color="auto"/>
          </w:divBdr>
          <w:divsChild>
            <w:div w:id="8807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1371223146">
          <w:marLeft w:val="0"/>
          <w:marRight w:val="0"/>
          <w:marTop w:val="0"/>
          <w:marBottom w:val="0"/>
          <w:divBdr>
            <w:top w:val="none" w:sz="0" w:space="0" w:color="auto"/>
            <w:left w:val="none" w:sz="0" w:space="0" w:color="auto"/>
            <w:bottom w:val="none" w:sz="0" w:space="0" w:color="auto"/>
            <w:right w:val="none" w:sz="0" w:space="0" w:color="auto"/>
          </w:divBdr>
        </w:div>
      </w:divsChild>
    </w:div>
    <w:div w:id="1656060715">
      <w:bodyDiv w:val="1"/>
      <w:marLeft w:val="0"/>
      <w:marRight w:val="0"/>
      <w:marTop w:val="0"/>
      <w:marBottom w:val="0"/>
      <w:divBdr>
        <w:top w:val="none" w:sz="0" w:space="0" w:color="auto"/>
        <w:left w:val="none" w:sz="0" w:space="0" w:color="auto"/>
        <w:bottom w:val="none" w:sz="0" w:space="0" w:color="auto"/>
        <w:right w:val="none" w:sz="0" w:space="0" w:color="auto"/>
      </w:divBdr>
    </w:div>
    <w:div w:id="1781759269">
      <w:bodyDiv w:val="1"/>
      <w:marLeft w:val="0"/>
      <w:marRight w:val="0"/>
      <w:marTop w:val="0"/>
      <w:marBottom w:val="0"/>
      <w:divBdr>
        <w:top w:val="none" w:sz="0" w:space="0" w:color="auto"/>
        <w:left w:val="none" w:sz="0" w:space="0" w:color="auto"/>
        <w:bottom w:val="none" w:sz="0" w:space="0" w:color="auto"/>
        <w:right w:val="none" w:sz="0" w:space="0" w:color="auto"/>
      </w:divBdr>
      <w:divsChild>
        <w:div w:id="1599362652">
          <w:marLeft w:val="0"/>
          <w:marRight w:val="0"/>
          <w:marTop w:val="0"/>
          <w:marBottom w:val="0"/>
          <w:divBdr>
            <w:top w:val="none" w:sz="0" w:space="0" w:color="auto"/>
            <w:left w:val="none" w:sz="0" w:space="0" w:color="auto"/>
            <w:bottom w:val="none" w:sz="0" w:space="0" w:color="auto"/>
            <w:right w:val="none" w:sz="0" w:space="0" w:color="auto"/>
          </w:divBdr>
          <w:divsChild>
            <w:div w:id="7640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7711">
      <w:bodyDiv w:val="1"/>
      <w:marLeft w:val="0"/>
      <w:marRight w:val="0"/>
      <w:marTop w:val="0"/>
      <w:marBottom w:val="0"/>
      <w:divBdr>
        <w:top w:val="none" w:sz="0" w:space="0" w:color="auto"/>
        <w:left w:val="none" w:sz="0" w:space="0" w:color="auto"/>
        <w:bottom w:val="none" w:sz="0" w:space="0" w:color="auto"/>
        <w:right w:val="none" w:sz="0" w:space="0" w:color="auto"/>
      </w:divBdr>
    </w:div>
    <w:div w:id="2008634562">
      <w:bodyDiv w:val="1"/>
      <w:marLeft w:val="0"/>
      <w:marRight w:val="0"/>
      <w:marTop w:val="0"/>
      <w:marBottom w:val="0"/>
      <w:divBdr>
        <w:top w:val="none" w:sz="0" w:space="0" w:color="auto"/>
        <w:left w:val="none" w:sz="0" w:space="0" w:color="auto"/>
        <w:bottom w:val="none" w:sz="0" w:space="0" w:color="auto"/>
        <w:right w:val="none" w:sz="0" w:space="0" w:color="auto"/>
      </w:divBdr>
      <w:divsChild>
        <w:div w:id="972559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worc.ac.uk/aqu/documents/PSRBengagementform.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Zandbeek</dc:creator>
  <cp:keywords/>
  <dc:description/>
  <cp:lastModifiedBy>Teresa Nahajski</cp:lastModifiedBy>
  <cp:revision>83</cp:revision>
  <dcterms:created xsi:type="dcterms:W3CDTF">2021-03-12T17:39:00Z</dcterms:created>
  <dcterms:modified xsi:type="dcterms:W3CDTF">2021-09-10T15:17:00Z</dcterms:modified>
</cp:coreProperties>
</file>